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1070" w14:textId="5CC1C11F" w:rsidR="009B6110" w:rsidRDefault="009B6110" w:rsidP="009B6110">
      <w:pPr>
        <w:pStyle w:val="Disclaimer"/>
        <w:ind w:left="-1418"/>
      </w:pPr>
    </w:p>
    <w:p w14:paraId="6EC7D931" w14:textId="77777777" w:rsidR="009B6110" w:rsidRDefault="009B6110">
      <w:pPr>
        <w:rPr>
          <w:rFonts w:ascii="Arial Narrow" w:hAnsi="Arial Narrow"/>
          <w:b/>
          <w:sz w:val="36"/>
        </w:rPr>
      </w:pPr>
    </w:p>
    <w:p w14:paraId="03E4109C" w14:textId="77777777" w:rsidR="009B6110" w:rsidRDefault="009B6110">
      <w:pPr>
        <w:rPr>
          <w:rFonts w:ascii="Arial Narrow" w:hAnsi="Arial Narrow"/>
          <w:b/>
          <w:sz w:val="36"/>
        </w:rPr>
      </w:pPr>
    </w:p>
    <w:p w14:paraId="57B1C9C1" w14:textId="77777777" w:rsidR="009B6110" w:rsidRDefault="009B6110">
      <w:pPr>
        <w:rPr>
          <w:rFonts w:ascii="Arial Narrow" w:hAnsi="Arial Narrow"/>
          <w:b/>
          <w:sz w:val="36"/>
        </w:rPr>
      </w:pPr>
    </w:p>
    <w:p w14:paraId="5A95CC99" w14:textId="77777777" w:rsidR="009B6110" w:rsidRDefault="009B6110">
      <w:pPr>
        <w:rPr>
          <w:rFonts w:ascii="Arial Narrow" w:hAnsi="Arial Narrow"/>
          <w:b/>
          <w:sz w:val="36"/>
        </w:rPr>
      </w:pPr>
    </w:p>
    <w:p w14:paraId="5F5DE20C" w14:textId="77777777" w:rsidR="009B6110" w:rsidRDefault="009B6110">
      <w:pPr>
        <w:rPr>
          <w:rFonts w:ascii="Arial Narrow" w:hAnsi="Arial Narrow"/>
          <w:b/>
          <w:sz w:val="36"/>
        </w:rPr>
      </w:pPr>
      <w:r>
        <w:rPr>
          <w:rFonts w:ascii="Arial Narrow" w:hAnsi="Arial Narrow"/>
          <w:b/>
          <w:sz w:val="36"/>
        </w:rPr>
        <w:t xml:space="preserve">Guidance for Thermal Inactivation of Hepatitis A virus in Berries </w:t>
      </w:r>
    </w:p>
    <w:p w14:paraId="6EA327C5" w14:textId="77777777" w:rsidR="009B6110" w:rsidRPr="009B6110" w:rsidRDefault="009B6110">
      <w:pPr>
        <w:rPr>
          <w:rFonts w:ascii="Arial Narrow" w:hAnsi="Arial Narrow"/>
          <w:sz w:val="36"/>
        </w:rPr>
      </w:pPr>
    </w:p>
    <w:p w14:paraId="30EF4D64" w14:textId="77777777" w:rsidR="009B6110" w:rsidRPr="009B6110" w:rsidRDefault="009B6110">
      <w:pPr>
        <w:rPr>
          <w:rFonts w:ascii="Arial Narrow" w:hAnsi="Arial Narrow"/>
          <w:sz w:val="36"/>
        </w:rPr>
      </w:pPr>
      <w:r w:rsidRPr="009B6110">
        <w:rPr>
          <w:rFonts w:ascii="Arial Narrow" w:hAnsi="Arial Narrow"/>
          <w:sz w:val="36"/>
        </w:rPr>
        <w:t>Prepared by:</w:t>
      </w:r>
    </w:p>
    <w:p w14:paraId="1ED62BA2" w14:textId="77777777" w:rsidR="009B6110" w:rsidRPr="009B6110" w:rsidRDefault="009B6110">
      <w:pPr>
        <w:rPr>
          <w:rFonts w:ascii="Arial Narrow" w:hAnsi="Arial Narrow"/>
          <w:sz w:val="36"/>
        </w:rPr>
      </w:pPr>
    </w:p>
    <w:p w14:paraId="2BAB5BA0" w14:textId="77777777" w:rsidR="009B6110" w:rsidRPr="009B6110" w:rsidRDefault="009B6110">
      <w:pPr>
        <w:rPr>
          <w:rFonts w:ascii="Arial Narrow" w:hAnsi="Arial Narrow"/>
          <w:sz w:val="36"/>
        </w:rPr>
      </w:pPr>
      <w:r w:rsidRPr="009B6110">
        <w:rPr>
          <w:rFonts w:ascii="Arial Narrow" w:hAnsi="Arial Narrow"/>
          <w:sz w:val="36"/>
        </w:rPr>
        <w:t xml:space="preserve">FSANZ Risk Assessment (Microbiology) and the Ministry for Primary Industries Food Risk Assessment </w:t>
      </w:r>
    </w:p>
    <w:p w14:paraId="1D39AAF3" w14:textId="77777777" w:rsidR="009B6110" w:rsidRDefault="009B6110">
      <w:pPr>
        <w:rPr>
          <w:rFonts w:ascii="Arial Narrow" w:hAnsi="Arial Narrow"/>
          <w:b/>
          <w:sz w:val="36"/>
        </w:rPr>
      </w:pPr>
    </w:p>
    <w:p w14:paraId="48600119" w14:textId="77777777" w:rsidR="009B6110" w:rsidRDefault="009B6110">
      <w:pPr>
        <w:rPr>
          <w:rFonts w:ascii="Arial Narrow" w:hAnsi="Arial Narrow"/>
          <w:b/>
          <w:sz w:val="36"/>
        </w:rPr>
      </w:pPr>
    </w:p>
    <w:p w14:paraId="1E1E110B" w14:textId="2616E73D" w:rsidR="009B6110" w:rsidRDefault="009B6110">
      <w:pPr>
        <w:rPr>
          <w:rFonts w:ascii="Arial Narrow" w:hAnsi="Arial Narrow"/>
          <w:b/>
          <w:sz w:val="36"/>
        </w:rPr>
      </w:pPr>
      <w:r>
        <w:rPr>
          <w:rFonts w:ascii="Arial Narrow" w:hAnsi="Arial Narrow"/>
          <w:b/>
          <w:sz w:val="36"/>
        </w:rPr>
        <w:t>December 2015</w:t>
      </w:r>
      <w:r>
        <w:rPr>
          <w:rFonts w:ascii="Arial Narrow" w:hAnsi="Arial Narrow"/>
          <w:b/>
          <w:sz w:val="36"/>
        </w:rPr>
        <w:br w:type="page"/>
      </w:r>
      <w:bookmarkStart w:id="0" w:name="_GoBack"/>
      <w:bookmarkEnd w:id="0"/>
    </w:p>
    <w:p w14:paraId="6811610C" w14:textId="77777777" w:rsidR="009B6110" w:rsidRDefault="009B6110">
      <w:pPr>
        <w:rPr>
          <w:rFonts w:ascii="Arial Narrow" w:hAnsi="Arial Narrow"/>
          <w:b/>
          <w:sz w:val="36"/>
        </w:rPr>
      </w:pPr>
    </w:p>
    <w:p w14:paraId="56F78351" w14:textId="735850BB" w:rsidR="00786686" w:rsidRDefault="00786686" w:rsidP="00C57E79">
      <w:pPr>
        <w:pStyle w:val="Disclaimer"/>
      </w:pPr>
      <w:r>
        <w:t>Disclaimer</w:t>
      </w:r>
    </w:p>
    <w:p w14:paraId="70758C8B" w14:textId="77777777" w:rsidR="00786686" w:rsidRDefault="00786686">
      <w:pPr>
        <w:ind w:right="1395"/>
        <w:rPr>
          <w:sz w:val="20"/>
        </w:rPr>
      </w:pPr>
    </w:p>
    <w:p w14:paraId="689DB3B2" w14:textId="6242A00F" w:rsidR="00786686" w:rsidRDefault="00344267">
      <w:pPr>
        <w:rPr>
          <w:sz w:val="23"/>
          <w:szCs w:val="23"/>
        </w:rPr>
      </w:pPr>
      <w:r>
        <w:rPr>
          <w:sz w:val="23"/>
          <w:szCs w:val="23"/>
        </w:rPr>
        <w:t xml:space="preserve">While every effort has been made to ensure the information in this publication is accurate, </w:t>
      </w:r>
      <w:r w:rsidR="0060302F">
        <w:rPr>
          <w:sz w:val="23"/>
          <w:szCs w:val="23"/>
        </w:rPr>
        <w:t>Food Standards Australia New Zealand</w:t>
      </w:r>
      <w:r>
        <w:rPr>
          <w:sz w:val="23"/>
          <w:szCs w:val="23"/>
        </w:rPr>
        <w:t xml:space="preserve"> </w:t>
      </w:r>
      <w:r w:rsidR="008D4C5E">
        <w:rPr>
          <w:sz w:val="23"/>
          <w:szCs w:val="23"/>
        </w:rPr>
        <w:t xml:space="preserve">and the Ministry for Primary Industries do </w:t>
      </w:r>
      <w:r>
        <w:rPr>
          <w:sz w:val="23"/>
          <w:szCs w:val="23"/>
        </w:rPr>
        <w:t>not accept any responsibility or liability for error of fact, omission, interpretation or opinion that may be present, nor for the consequences of any decisions based on this information.</w:t>
      </w:r>
    </w:p>
    <w:p w14:paraId="05038F9B" w14:textId="77777777" w:rsidR="00344267" w:rsidRDefault="00344267"/>
    <w:p w14:paraId="06528EB1" w14:textId="0E003C13" w:rsidR="00F020EF" w:rsidRDefault="00786686">
      <w:r>
        <w:t xml:space="preserve">This publication is also available at </w:t>
      </w:r>
    </w:p>
    <w:p w14:paraId="2838D4CC" w14:textId="31EE2F50" w:rsidR="006C57DB" w:rsidRDefault="00F61F66">
      <w:hyperlink r:id="rId14" w:history="1">
        <w:r w:rsidR="0060302F" w:rsidRPr="00FA1C87">
          <w:rPr>
            <w:rStyle w:val="Hyperlink"/>
          </w:rPr>
          <w:t>http://www.foodstandards.gov.au/publications/</w:t>
        </w:r>
      </w:hyperlink>
      <w:r w:rsidR="0020043F">
        <w:t xml:space="preserve"> </w:t>
      </w:r>
      <w:r w:rsidR="00656E13">
        <w:t>and</w:t>
      </w:r>
    </w:p>
    <w:p w14:paraId="1999E5DC" w14:textId="77777777" w:rsidR="00656E13" w:rsidRDefault="00F61F66" w:rsidP="00656E13">
      <w:hyperlink r:id="rId15" w:history="1">
        <w:r w:rsidR="00656E13" w:rsidRPr="00A15525">
          <w:rPr>
            <w:rStyle w:val="Hyperlink"/>
          </w:rPr>
          <w:t>http://www.mpi.govt.nz/news-and-resou</w:t>
        </w:r>
        <w:r w:rsidR="00656E13" w:rsidRPr="00A15525">
          <w:rPr>
            <w:rStyle w:val="Hyperlink"/>
          </w:rPr>
          <w:t>r</w:t>
        </w:r>
        <w:r w:rsidR="00656E13" w:rsidRPr="00A15525">
          <w:rPr>
            <w:rStyle w:val="Hyperlink"/>
          </w:rPr>
          <w:t>ces/publications/</w:t>
        </w:r>
      </w:hyperlink>
      <w:r w:rsidR="00656E13">
        <w:t xml:space="preserve"> </w:t>
      </w:r>
    </w:p>
    <w:p w14:paraId="54CC0525" w14:textId="77777777" w:rsidR="00656E13" w:rsidRDefault="00656E13"/>
    <w:p w14:paraId="27486E4D" w14:textId="30186EE5" w:rsidR="0020043F" w:rsidRPr="006C57DB" w:rsidRDefault="00A47315">
      <w:r>
        <w:t xml:space="preserve">ISBN: </w:t>
      </w:r>
      <w:r>
        <w:t>978-0-642-34588-2</w:t>
      </w:r>
    </w:p>
    <w:p w14:paraId="20BC51CC" w14:textId="77777777" w:rsidR="00786686" w:rsidRDefault="00786686"/>
    <w:p w14:paraId="32C42719" w14:textId="23C12533" w:rsidR="008D4C5E" w:rsidRDefault="008D4C5E" w:rsidP="008D4C5E">
      <w:r>
        <w:rPr>
          <w:b/>
        </w:rPr>
        <w:t xml:space="preserve">© Copyright – Food Standards Australia New Zealand and </w:t>
      </w:r>
    </w:p>
    <w:p w14:paraId="12C75EE3" w14:textId="3C0360C7" w:rsidR="00786686" w:rsidRPr="008D4C5E" w:rsidRDefault="008D4C5E">
      <w:pPr>
        <w:rPr>
          <w:b/>
        </w:rPr>
        <w:sectPr w:rsidR="00786686" w:rsidRPr="008D4C5E" w:rsidSect="009B6110">
          <w:headerReference w:type="default" r:id="rId16"/>
          <w:pgSz w:w="11906" w:h="16838"/>
          <w:pgMar w:top="567" w:right="1418" w:bottom="0" w:left="1418" w:header="720" w:footer="720" w:gutter="0"/>
          <w:cols w:space="720"/>
        </w:sectPr>
      </w:pPr>
      <w:r w:rsidRPr="008D4C5E">
        <w:rPr>
          <w:b/>
        </w:rPr>
        <w:t>Ministry for Primary Industries</w:t>
      </w:r>
    </w:p>
    <w:p w14:paraId="058FF6F8" w14:textId="77777777" w:rsidR="00786686" w:rsidRDefault="00786686">
      <w:pPr>
        <w:pStyle w:val="Contents"/>
      </w:pPr>
      <w:r>
        <w:lastRenderedPageBreak/>
        <w:t>Contents</w:t>
      </w:r>
      <w:r>
        <w:tab/>
      </w:r>
      <w:r>
        <w:rPr>
          <w:sz w:val="24"/>
        </w:rPr>
        <w:t>Page</w:t>
      </w:r>
    </w:p>
    <w:p w14:paraId="7F024D06" w14:textId="77777777" w:rsidR="00786686" w:rsidRDefault="00786686"/>
    <w:p w14:paraId="1651E395" w14:textId="77777777" w:rsidR="008B7F41" w:rsidRDefault="00786686">
      <w:pPr>
        <w:pStyle w:val="TOC1"/>
        <w:rPr>
          <w:rFonts w:asciiTheme="minorHAnsi" w:eastAsiaTheme="minorEastAsia" w:hAnsiTheme="minorHAnsi" w:cstheme="minorBidi"/>
          <w:b w:val="0"/>
          <w:sz w:val="22"/>
          <w:szCs w:val="22"/>
          <w:lang w:eastAsia="en-NZ"/>
        </w:rPr>
      </w:pPr>
      <w:r>
        <w:fldChar w:fldCharType="begin"/>
      </w:r>
      <w:r>
        <w:instrText xml:space="preserve"> TOC \o "1-2" </w:instrText>
      </w:r>
      <w:r>
        <w:fldChar w:fldCharType="separate"/>
      </w:r>
      <w:r w:rsidR="008B7F41">
        <w:t>1</w:t>
      </w:r>
      <w:r w:rsidR="008B7F41">
        <w:rPr>
          <w:rFonts w:asciiTheme="minorHAnsi" w:eastAsiaTheme="minorEastAsia" w:hAnsiTheme="minorHAnsi" w:cstheme="minorBidi"/>
          <w:b w:val="0"/>
          <w:sz w:val="22"/>
          <w:szCs w:val="22"/>
          <w:lang w:eastAsia="en-NZ"/>
        </w:rPr>
        <w:tab/>
      </w:r>
      <w:r w:rsidR="008B7F41">
        <w:t>Summary</w:t>
      </w:r>
      <w:r w:rsidR="008B7F41">
        <w:tab/>
      </w:r>
      <w:r w:rsidR="008B7F41">
        <w:fldChar w:fldCharType="begin"/>
      </w:r>
      <w:r w:rsidR="008B7F41">
        <w:instrText xml:space="preserve"> PAGEREF _Toc438202928 \h </w:instrText>
      </w:r>
      <w:r w:rsidR="008B7F41">
        <w:fldChar w:fldCharType="separate"/>
      </w:r>
      <w:r w:rsidR="008B7F41">
        <w:t>1</w:t>
      </w:r>
      <w:r w:rsidR="008B7F41">
        <w:fldChar w:fldCharType="end"/>
      </w:r>
    </w:p>
    <w:p w14:paraId="5E947D1B" w14:textId="77777777" w:rsidR="008B7F41" w:rsidRDefault="008B7F41">
      <w:pPr>
        <w:pStyle w:val="TOC1"/>
        <w:rPr>
          <w:rFonts w:asciiTheme="minorHAnsi" w:eastAsiaTheme="minorEastAsia" w:hAnsiTheme="minorHAnsi" w:cstheme="minorBidi"/>
          <w:b w:val="0"/>
          <w:sz w:val="22"/>
          <w:szCs w:val="22"/>
          <w:lang w:eastAsia="en-NZ"/>
        </w:rPr>
      </w:pPr>
      <w:r>
        <w:t>2</w:t>
      </w:r>
      <w:r>
        <w:rPr>
          <w:rFonts w:asciiTheme="minorHAnsi" w:eastAsiaTheme="minorEastAsia" w:hAnsiTheme="minorHAnsi" w:cstheme="minorBidi"/>
          <w:b w:val="0"/>
          <w:sz w:val="22"/>
          <w:szCs w:val="22"/>
          <w:lang w:eastAsia="en-NZ"/>
        </w:rPr>
        <w:tab/>
      </w:r>
      <w:r>
        <w:t>Background</w:t>
      </w:r>
      <w:r>
        <w:tab/>
      </w:r>
      <w:r>
        <w:fldChar w:fldCharType="begin"/>
      </w:r>
      <w:r>
        <w:instrText xml:space="preserve"> PAGEREF _Toc438202929 \h </w:instrText>
      </w:r>
      <w:r>
        <w:fldChar w:fldCharType="separate"/>
      </w:r>
      <w:r>
        <w:t>1</w:t>
      </w:r>
      <w:r>
        <w:fldChar w:fldCharType="end"/>
      </w:r>
    </w:p>
    <w:p w14:paraId="01905492" w14:textId="77777777" w:rsidR="008B7F41" w:rsidRDefault="008B7F41">
      <w:pPr>
        <w:pStyle w:val="TOC1"/>
        <w:rPr>
          <w:rFonts w:asciiTheme="minorHAnsi" w:eastAsiaTheme="minorEastAsia" w:hAnsiTheme="minorHAnsi" w:cstheme="minorBidi"/>
          <w:b w:val="0"/>
          <w:sz w:val="22"/>
          <w:szCs w:val="22"/>
          <w:lang w:eastAsia="en-NZ"/>
        </w:rPr>
      </w:pPr>
      <w:r>
        <w:t>3</w:t>
      </w:r>
      <w:r>
        <w:rPr>
          <w:rFonts w:asciiTheme="minorHAnsi" w:eastAsiaTheme="minorEastAsia" w:hAnsiTheme="minorHAnsi" w:cstheme="minorBidi"/>
          <w:b w:val="0"/>
          <w:sz w:val="22"/>
          <w:szCs w:val="22"/>
          <w:lang w:eastAsia="en-NZ"/>
        </w:rPr>
        <w:tab/>
      </w:r>
      <w:r>
        <w:t>Published guidance on hepatitis A virus thermal inactivation in berry products</w:t>
      </w:r>
      <w:r>
        <w:tab/>
      </w:r>
      <w:r>
        <w:fldChar w:fldCharType="begin"/>
      </w:r>
      <w:r>
        <w:instrText xml:space="preserve"> PAGEREF _Toc438202930 \h </w:instrText>
      </w:r>
      <w:r>
        <w:fldChar w:fldCharType="separate"/>
      </w:r>
      <w:r>
        <w:t>2</w:t>
      </w:r>
      <w:r>
        <w:fldChar w:fldCharType="end"/>
      </w:r>
    </w:p>
    <w:p w14:paraId="19091DC3" w14:textId="77777777" w:rsidR="008B7F41" w:rsidRDefault="008B7F41">
      <w:pPr>
        <w:pStyle w:val="TOC1"/>
        <w:rPr>
          <w:rFonts w:asciiTheme="minorHAnsi" w:eastAsiaTheme="minorEastAsia" w:hAnsiTheme="minorHAnsi" w:cstheme="minorBidi"/>
          <w:b w:val="0"/>
          <w:sz w:val="22"/>
          <w:szCs w:val="22"/>
          <w:lang w:eastAsia="en-NZ"/>
        </w:rPr>
      </w:pPr>
      <w:r>
        <w:t>4</w:t>
      </w:r>
      <w:r>
        <w:rPr>
          <w:rFonts w:asciiTheme="minorHAnsi" w:eastAsiaTheme="minorEastAsia" w:hAnsiTheme="minorHAnsi" w:cstheme="minorBidi"/>
          <w:b w:val="0"/>
          <w:sz w:val="22"/>
          <w:szCs w:val="22"/>
          <w:lang w:eastAsia="en-NZ"/>
        </w:rPr>
        <w:tab/>
      </w:r>
      <w:r>
        <w:t>Guidelines for thermal inactivation in berries</w:t>
      </w:r>
      <w:r>
        <w:tab/>
      </w:r>
      <w:r>
        <w:fldChar w:fldCharType="begin"/>
      </w:r>
      <w:r>
        <w:instrText xml:space="preserve"> PAGEREF _Toc438202931 \h </w:instrText>
      </w:r>
      <w:r>
        <w:fldChar w:fldCharType="separate"/>
      </w:r>
      <w:r>
        <w:t>2</w:t>
      </w:r>
      <w:r>
        <w:fldChar w:fldCharType="end"/>
      </w:r>
    </w:p>
    <w:p w14:paraId="0DC78894" w14:textId="77777777" w:rsidR="008B7F41" w:rsidRDefault="008B7F41">
      <w:pPr>
        <w:pStyle w:val="TOC2"/>
        <w:rPr>
          <w:rFonts w:asciiTheme="minorHAnsi" w:eastAsiaTheme="minorEastAsia" w:hAnsiTheme="minorHAnsi" w:cstheme="minorBidi"/>
          <w:sz w:val="22"/>
          <w:szCs w:val="22"/>
          <w:lang w:eastAsia="en-NZ"/>
        </w:rPr>
      </w:pPr>
      <w:r>
        <w:t>4.1</w:t>
      </w:r>
      <w:r>
        <w:rPr>
          <w:rFonts w:asciiTheme="minorHAnsi" w:eastAsiaTheme="minorEastAsia" w:hAnsiTheme="minorHAnsi" w:cstheme="minorBidi"/>
          <w:sz w:val="22"/>
          <w:szCs w:val="22"/>
          <w:lang w:eastAsia="en-NZ"/>
        </w:rPr>
        <w:tab/>
      </w:r>
      <w:r>
        <w:t>Natural fruits (no added sugar)</w:t>
      </w:r>
      <w:r>
        <w:tab/>
      </w:r>
      <w:r>
        <w:fldChar w:fldCharType="begin"/>
      </w:r>
      <w:r>
        <w:instrText xml:space="preserve"> PAGEREF _Toc438202932 \h </w:instrText>
      </w:r>
      <w:r>
        <w:fldChar w:fldCharType="separate"/>
      </w:r>
      <w:r>
        <w:t>3</w:t>
      </w:r>
      <w:r>
        <w:fldChar w:fldCharType="end"/>
      </w:r>
    </w:p>
    <w:p w14:paraId="3ACF405D" w14:textId="77777777" w:rsidR="008B7F41" w:rsidRDefault="008B7F41">
      <w:pPr>
        <w:pStyle w:val="TOC2"/>
        <w:rPr>
          <w:rFonts w:asciiTheme="minorHAnsi" w:eastAsiaTheme="minorEastAsia" w:hAnsiTheme="minorHAnsi" w:cstheme="minorBidi"/>
          <w:sz w:val="22"/>
          <w:szCs w:val="22"/>
          <w:lang w:eastAsia="en-NZ"/>
        </w:rPr>
      </w:pPr>
      <w:r>
        <w:t>4.2</w:t>
      </w:r>
      <w:r>
        <w:rPr>
          <w:rFonts w:asciiTheme="minorHAnsi" w:eastAsiaTheme="minorEastAsia" w:hAnsiTheme="minorHAnsi" w:cstheme="minorBidi"/>
          <w:sz w:val="22"/>
          <w:szCs w:val="22"/>
          <w:lang w:eastAsia="en-NZ"/>
        </w:rPr>
        <w:tab/>
      </w:r>
      <w:r>
        <w:t>Guidelines for processed fruits</w:t>
      </w:r>
      <w:r>
        <w:tab/>
      </w:r>
      <w:r>
        <w:fldChar w:fldCharType="begin"/>
      </w:r>
      <w:r>
        <w:instrText xml:space="preserve"> PAGEREF _Toc438202933 \h </w:instrText>
      </w:r>
      <w:r>
        <w:fldChar w:fldCharType="separate"/>
      </w:r>
      <w:r>
        <w:t>3</w:t>
      </w:r>
      <w:r>
        <w:fldChar w:fldCharType="end"/>
      </w:r>
    </w:p>
    <w:p w14:paraId="3BE50085" w14:textId="77777777" w:rsidR="008B7F41" w:rsidRDefault="008B7F41">
      <w:pPr>
        <w:pStyle w:val="TOC2"/>
        <w:rPr>
          <w:rFonts w:asciiTheme="minorHAnsi" w:eastAsiaTheme="minorEastAsia" w:hAnsiTheme="minorHAnsi" w:cstheme="minorBidi"/>
          <w:sz w:val="22"/>
          <w:szCs w:val="22"/>
          <w:lang w:eastAsia="en-NZ"/>
        </w:rPr>
      </w:pPr>
      <w:r>
        <w:t>4.3</w:t>
      </w:r>
      <w:r>
        <w:rPr>
          <w:rFonts w:asciiTheme="minorHAnsi" w:eastAsiaTheme="minorEastAsia" w:hAnsiTheme="minorHAnsi" w:cstheme="minorBidi"/>
          <w:sz w:val="22"/>
          <w:szCs w:val="22"/>
          <w:lang w:eastAsia="en-NZ"/>
        </w:rPr>
        <w:tab/>
      </w:r>
      <w:r>
        <w:t>Guidelines for other thermal processes: freeze-drying</w:t>
      </w:r>
      <w:r>
        <w:tab/>
      </w:r>
      <w:r>
        <w:fldChar w:fldCharType="begin"/>
      </w:r>
      <w:r>
        <w:instrText xml:space="preserve"> PAGEREF _Toc438202934 \h </w:instrText>
      </w:r>
      <w:r>
        <w:fldChar w:fldCharType="separate"/>
      </w:r>
      <w:r>
        <w:t>4</w:t>
      </w:r>
      <w:r>
        <w:fldChar w:fldCharType="end"/>
      </w:r>
    </w:p>
    <w:p w14:paraId="5B51D08C" w14:textId="77777777" w:rsidR="008B7F41" w:rsidRDefault="008B7F41">
      <w:pPr>
        <w:pStyle w:val="TOC1"/>
        <w:rPr>
          <w:rFonts w:asciiTheme="minorHAnsi" w:eastAsiaTheme="minorEastAsia" w:hAnsiTheme="minorHAnsi" w:cstheme="minorBidi"/>
          <w:b w:val="0"/>
          <w:sz w:val="22"/>
          <w:szCs w:val="22"/>
          <w:lang w:eastAsia="en-NZ"/>
        </w:rPr>
      </w:pPr>
      <w:r>
        <w:t>5</w:t>
      </w:r>
      <w:r>
        <w:rPr>
          <w:rFonts w:asciiTheme="minorHAnsi" w:eastAsiaTheme="minorEastAsia" w:hAnsiTheme="minorHAnsi" w:cstheme="minorBidi"/>
          <w:b w:val="0"/>
          <w:sz w:val="22"/>
          <w:szCs w:val="22"/>
          <w:lang w:eastAsia="en-NZ"/>
        </w:rPr>
        <w:tab/>
      </w:r>
      <w:r>
        <w:t>References</w:t>
      </w:r>
      <w:r>
        <w:tab/>
      </w:r>
      <w:r>
        <w:fldChar w:fldCharType="begin"/>
      </w:r>
      <w:r>
        <w:instrText xml:space="preserve"> PAGEREF _Toc438202935 \h </w:instrText>
      </w:r>
      <w:r>
        <w:fldChar w:fldCharType="separate"/>
      </w:r>
      <w:r>
        <w:t>5</w:t>
      </w:r>
      <w:r>
        <w:fldChar w:fldCharType="end"/>
      </w:r>
    </w:p>
    <w:p w14:paraId="6CBA69B7" w14:textId="77777777" w:rsidR="00786686" w:rsidRDefault="00786686">
      <w:pPr>
        <w:pStyle w:val="TOC1"/>
        <w:sectPr w:rsidR="00786686">
          <w:headerReference w:type="default" r:id="rId17"/>
          <w:footerReference w:type="even" r:id="rId18"/>
          <w:footerReference w:type="default" r:id="rId19"/>
          <w:footerReference w:type="first" r:id="rId20"/>
          <w:type w:val="oddPage"/>
          <w:pgSz w:w="11907" w:h="16840" w:code="9"/>
          <w:pgMar w:top="1134" w:right="1418" w:bottom="1134" w:left="1418" w:header="720" w:footer="720" w:gutter="0"/>
          <w:pgNumType w:fmt="lowerRoman" w:start="1"/>
          <w:cols w:space="720" w:equalWidth="0">
            <w:col w:w="9049"/>
          </w:cols>
        </w:sectPr>
      </w:pPr>
      <w:r>
        <w:fldChar w:fldCharType="end"/>
      </w:r>
      <w:r>
        <w:t xml:space="preserve"> </w:t>
      </w:r>
      <w:r>
        <w:fldChar w:fldCharType="begin"/>
      </w:r>
      <w:r>
        <w:instrText xml:space="preserve">  </w:instrText>
      </w:r>
      <w:r>
        <w:fldChar w:fldCharType="end"/>
      </w:r>
    </w:p>
    <w:p w14:paraId="46769009" w14:textId="77777777" w:rsidR="005C5984" w:rsidRDefault="005C5984" w:rsidP="00D7586B">
      <w:pPr>
        <w:pStyle w:val="Heading1"/>
      </w:pPr>
      <w:bookmarkStart w:id="1" w:name="_Toc438202928"/>
      <w:r>
        <w:lastRenderedPageBreak/>
        <w:t>Summary</w:t>
      </w:r>
      <w:bookmarkEnd w:id="1"/>
    </w:p>
    <w:p w14:paraId="4D807B2A" w14:textId="77777777" w:rsidR="005C5984" w:rsidRDefault="005C5984" w:rsidP="008B7F41"/>
    <w:p w14:paraId="0E55EF33" w14:textId="285E8038" w:rsidR="0060302F" w:rsidRPr="0060302F" w:rsidRDefault="0060302F" w:rsidP="0060302F">
      <w:pPr>
        <w:pStyle w:val="ListParagraph"/>
        <w:numPr>
          <w:ilvl w:val="0"/>
          <w:numId w:val="8"/>
        </w:numPr>
        <w:spacing w:after="0" w:line="240" w:lineRule="auto"/>
        <w:ind w:left="426"/>
        <w:rPr>
          <w:rFonts w:ascii="Times New Roman" w:hAnsi="Times New Roman"/>
          <w:sz w:val="24"/>
          <w:szCs w:val="24"/>
        </w:rPr>
      </w:pPr>
      <w:r w:rsidRPr="0060302F">
        <w:rPr>
          <w:rFonts w:ascii="Times New Roman" w:hAnsi="Times New Roman"/>
          <w:sz w:val="24"/>
          <w:szCs w:val="24"/>
        </w:rPr>
        <w:t xml:space="preserve">Food Standards Australia New Zealand (FSANZ) </w:t>
      </w:r>
      <w:r w:rsidR="007702A4">
        <w:rPr>
          <w:rFonts w:ascii="Times New Roman" w:hAnsi="Times New Roman"/>
          <w:sz w:val="24"/>
          <w:szCs w:val="24"/>
        </w:rPr>
        <w:t xml:space="preserve">and the Ministry for Primary Industries </w:t>
      </w:r>
      <w:r w:rsidRPr="0060302F">
        <w:rPr>
          <w:rFonts w:ascii="Times New Roman" w:hAnsi="Times New Roman"/>
          <w:sz w:val="24"/>
          <w:szCs w:val="24"/>
        </w:rPr>
        <w:t>have developed the following guidance for the inactivation of hepatitis A virus in berry fruits.</w:t>
      </w:r>
    </w:p>
    <w:p w14:paraId="767C5ED8" w14:textId="77777777" w:rsidR="0060302F" w:rsidRDefault="0060302F" w:rsidP="0060302F">
      <w:pPr>
        <w:pStyle w:val="ListParagraph"/>
        <w:spacing w:after="0" w:line="240" w:lineRule="auto"/>
        <w:ind w:left="426"/>
        <w:rPr>
          <w:rFonts w:ascii="Times New Roman" w:hAnsi="Times New Roman"/>
          <w:sz w:val="24"/>
          <w:szCs w:val="24"/>
        </w:rPr>
      </w:pPr>
    </w:p>
    <w:p w14:paraId="5501E88D" w14:textId="77777777" w:rsidR="005C5984" w:rsidRPr="008B7F41" w:rsidRDefault="005C5984" w:rsidP="008B7F41">
      <w:pPr>
        <w:pStyle w:val="ListParagraph"/>
        <w:numPr>
          <w:ilvl w:val="0"/>
          <w:numId w:val="8"/>
        </w:numPr>
        <w:spacing w:after="0" w:line="240" w:lineRule="auto"/>
        <w:ind w:left="426"/>
        <w:rPr>
          <w:rFonts w:ascii="Times New Roman" w:hAnsi="Times New Roman"/>
          <w:sz w:val="24"/>
          <w:szCs w:val="24"/>
        </w:rPr>
      </w:pPr>
      <w:r w:rsidRPr="008B7F41">
        <w:rPr>
          <w:rFonts w:ascii="Times New Roman" w:hAnsi="Times New Roman"/>
          <w:sz w:val="24"/>
          <w:szCs w:val="24"/>
        </w:rPr>
        <w:t xml:space="preserve">MPI and FSANZ recommend cooking food to 85°C for 1 minute to inactivate hepatitis A virus but recognise that the extent of virus inactivation is influenced by the food matrix.  </w:t>
      </w:r>
    </w:p>
    <w:p w14:paraId="45435173" w14:textId="77777777" w:rsidR="00AD4039" w:rsidRPr="008B7F41" w:rsidRDefault="00AD4039" w:rsidP="008B7F41">
      <w:pPr>
        <w:pStyle w:val="ListParagraph"/>
        <w:spacing w:after="0" w:line="240" w:lineRule="auto"/>
        <w:ind w:left="426" w:hanging="360"/>
        <w:rPr>
          <w:rFonts w:ascii="Times New Roman" w:hAnsi="Times New Roman"/>
          <w:sz w:val="24"/>
          <w:szCs w:val="24"/>
        </w:rPr>
      </w:pPr>
    </w:p>
    <w:p w14:paraId="429875A7" w14:textId="77777777" w:rsidR="005C5984" w:rsidRPr="008B7F41" w:rsidRDefault="00C44AA9" w:rsidP="008B7F41">
      <w:pPr>
        <w:pStyle w:val="ListParagraph"/>
        <w:numPr>
          <w:ilvl w:val="0"/>
          <w:numId w:val="8"/>
        </w:numPr>
        <w:spacing w:after="0" w:line="240" w:lineRule="auto"/>
        <w:ind w:left="426"/>
        <w:rPr>
          <w:rFonts w:ascii="Times New Roman" w:hAnsi="Times New Roman"/>
          <w:sz w:val="24"/>
          <w:szCs w:val="24"/>
        </w:rPr>
      </w:pPr>
      <w:r>
        <w:rPr>
          <w:rFonts w:ascii="Times New Roman" w:hAnsi="Times New Roman"/>
          <w:sz w:val="24"/>
          <w:szCs w:val="24"/>
        </w:rPr>
        <w:t>Should alternat</w:t>
      </w:r>
      <w:r w:rsidR="008B7F41">
        <w:rPr>
          <w:rFonts w:ascii="Times New Roman" w:hAnsi="Times New Roman"/>
          <w:sz w:val="24"/>
          <w:szCs w:val="24"/>
        </w:rPr>
        <w:t>iv</w:t>
      </w:r>
      <w:r>
        <w:rPr>
          <w:rFonts w:ascii="Times New Roman" w:hAnsi="Times New Roman"/>
          <w:sz w:val="24"/>
          <w:szCs w:val="24"/>
        </w:rPr>
        <w:t xml:space="preserve">e, generally lower, processing temperatures be required, this report presents </w:t>
      </w:r>
      <w:r w:rsidR="008B7F41" w:rsidRPr="008B7F41">
        <w:rPr>
          <w:rFonts w:ascii="Times New Roman" w:hAnsi="Times New Roman"/>
          <w:sz w:val="24"/>
          <w:szCs w:val="24"/>
        </w:rPr>
        <w:t xml:space="preserve">guidelines </w:t>
      </w:r>
      <w:r>
        <w:rPr>
          <w:rFonts w:ascii="Times New Roman" w:hAnsi="Times New Roman"/>
          <w:sz w:val="24"/>
          <w:szCs w:val="24"/>
        </w:rPr>
        <w:t>temperature/time</w:t>
      </w:r>
      <w:r w:rsidR="005C5984" w:rsidRPr="008B7F41">
        <w:rPr>
          <w:rFonts w:ascii="Times New Roman" w:hAnsi="Times New Roman"/>
          <w:sz w:val="24"/>
          <w:szCs w:val="24"/>
        </w:rPr>
        <w:t xml:space="preserve"> </w:t>
      </w:r>
      <w:r w:rsidR="008B7F41">
        <w:rPr>
          <w:rFonts w:ascii="Times New Roman" w:hAnsi="Times New Roman"/>
          <w:sz w:val="24"/>
          <w:szCs w:val="24"/>
        </w:rPr>
        <w:t xml:space="preserve">equivalents </w:t>
      </w:r>
      <w:r w:rsidR="005C5984" w:rsidRPr="008B7F41">
        <w:rPr>
          <w:rFonts w:ascii="Times New Roman" w:hAnsi="Times New Roman"/>
          <w:sz w:val="24"/>
          <w:szCs w:val="24"/>
        </w:rPr>
        <w:t>for the inactivation of hepatitis A virus based on available experimental data and according to the product characteristics (</w:t>
      </w:r>
      <w:r w:rsidR="008B7F41">
        <w:rPr>
          <w:rFonts w:ascii="Times New Roman" w:hAnsi="Times New Roman"/>
          <w:sz w:val="24"/>
          <w:szCs w:val="24"/>
        </w:rPr>
        <w:t xml:space="preserve">e.g. </w:t>
      </w:r>
      <w:r w:rsidR="005C5984" w:rsidRPr="008B7F41">
        <w:rPr>
          <w:rFonts w:ascii="Times New Roman" w:hAnsi="Times New Roman"/>
          <w:sz w:val="24"/>
          <w:szCs w:val="24"/>
        </w:rPr>
        <w:t>pH and sugar content).</w:t>
      </w:r>
    </w:p>
    <w:p w14:paraId="6DE66F71" w14:textId="77777777" w:rsidR="00AD4039" w:rsidRPr="000E3216" w:rsidRDefault="00AD4039" w:rsidP="008B7F41">
      <w:pPr>
        <w:ind w:left="426" w:hanging="360"/>
        <w:rPr>
          <w:szCs w:val="24"/>
        </w:rPr>
      </w:pPr>
    </w:p>
    <w:p w14:paraId="3C4E31D8" w14:textId="77777777" w:rsidR="005C5984" w:rsidRPr="008B7F41" w:rsidRDefault="00C44AA9" w:rsidP="008B7F41">
      <w:pPr>
        <w:pStyle w:val="ListParagraph"/>
        <w:numPr>
          <w:ilvl w:val="0"/>
          <w:numId w:val="8"/>
        </w:numPr>
        <w:spacing w:after="0" w:line="240" w:lineRule="auto"/>
        <w:ind w:left="426"/>
        <w:rPr>
          <w:rFonts w:ascii="Times New Roman" w:hAnsi="Times New Roman"/>
          <w:sz w:val="24"/>
          <w:szCs w:val="24"/>
        </w:rPr>
      </w:pPr>
      <w:r>
        <w:rPr>
          <w:rFonts w:ascii="Times New Roman" w:hAnsi="Times New Roman"/>
          <w:sz w:val="24"/>
          <w:szCs w:val="24"/>
        </w:rPr>
        <w:t xml:space="preserve">In the absence of data for all berry types, </w:t>
      </w:r>
      <w:r w:rsidR="005C5984" w:rsidRPr="008B7F41">
        <w:rPr>
          <w:rFonts w:ascii="Times New Roman" w:hAnsi="Times New Roman"/>
          <w:sz w:val="24"/>
          <w:szCs w:val="24"/>
        </w:rPr>
        <w:t xml:space="preserve">manufacturers </w:t>
      </w:r>
      <w:r>
        <w:rPr>
          <w:rFonts w:ascii="Times New Roman" w:hAnsi="Times New Roman"/>
          <w:sz w:val="24"/>
          <w:szCs w:val="24"/>
        </w:rPr>
        <w:t xml:space="preserve">should </w:t>
      </w:r>
      <w:r w:rsidR="005C5984" w:rsidRPr="008B7F41">
        <w:rPr>
          <w:rFonts w:ascii="Times New Roman" w:hAnsi="Times New Roman"/>
          <w:sz w:val="24"/>
          <w:szCs w:val="24"/>
        </w:rPr>
        <w:t xml:space="preserve">apply the </w:t>
      </w:r>
      <w:r w:rsidR="008B7F41">
        <w:rPr>
          <w:rFonts w:ascii="Times New Roman" w:hAnsi="Times New Roman"/>
          <w:sz w:val="24"/>
          <w:szCs w:val="24"/>
        </w:rPr>
        <w:t>temperature/time</w:t>
      </w:r>
      <w:r w:rsidR="008B7F41" w:rsidRPr="008B7F41">
        <w:rPr>
          <w:rFonts w:ascii="Times New Roman" w:hAnsi="Times New Roman"/>
          <w:sz w:val="24"/>
          <w:szCs w:val="24"/>
        </w:rPr>
        <w:t xml:space="preserve"> </w:t>
      </w:r>
      <w:r w:rsidR="008B7F41">
        <w:rPr>
          <w:rFonts w:ascii="Times New Roman" w:hAnsi="Times New Roman"/>
          <w:sz w:val="24"/>
          <w:szCs w:val="24"/>
        </w:rPr>
        <w:t xml:space="preserve">equivalent </w:t>
      </w:r>
      <w:r w:rsidR="005C5984" w:rsidRPr="008B7F41">
        <w:rPr>
          <w:rFonts w:ascii="Times New Roman" w:hAnsi="Times New Roman"/>
          <w:sz w:val="24"/>
          <w:szCs w:val="24"/>
        </w:rPr>
        <w:t xml:space="preserve">guidelines </w:t>
      </w:r>
      <w:r w:rsidR="008B7F41" w:rsidRPr="008B7F41">
        <w:rPr>
          <w:rFonts w:ascii="Times New Roman" w:hAnsi="Times New Roman"/>
          <w:sz w:val="24"/>
          <w:szCs w:val="24"/>
        </w:rPr>
        <w:t>close</w:t>
      </w:r>
      <w:r w:rsidR="008B7F41">
        <w:rPr>
          <w:rFonts w:ascii="Times New Roman" w:hAnsi="Times New Roman"/>
          <w:sz w:val="24"/>
          <w:szCs w:val="24"/>
        </w:rPr>
        <w:t>ly</w:t>
      </w:r>
      <w:r w:rsidR="008B7F41" w:rsidRPr="008B7F41">
        <w:rPr>
          <w:rFonts w:ascii="Times New Roman" w:hAnsi="Times New Roman"/>
          <w:sz w:val="24"/>
          <w:szCs w:val="24"/>
        </w:rPr>
        <w:t xml:space="preserve"> </w:t>
      </w:r>
      <w:r w:rsidR="005C5984" w:rsidRPr="008B7F41">
        <w:rPr>
          <w:rFonts w:ascii="Times New Roman" w:hAnsi="Times New Roman"/>
          <w:sz w:val="24"/>
          <w:szCs w:val="24"/>
        </w:rPr>
        <w:t>corresponding to the characteristics</w:t>
      </w:r>
      <w:r>
        <w:rPr>
          <w:rFonts w:ascii="Times New Roman" w:hAnsi="Times New Roman"/>
          <w:sz w:val="24"/>
          <w:szCs w:val="24"/>
        </w:rPr>
        <w:t xml:space="preserve"> (e.g. pH and sugar content)</w:t>
      </w:r>
      <w:r w:rsidR="005C5984" w:rsidRPr="008B7F41">
        <w:rPr>
          <w:rFonts w:ascii="Times New Roman" w:hAnsi="Times New Roman"/>
          <w:sz w:val="24"/>
          <w:szCs w:val="24"/>
        </w:rPr>
        <w:t xml:space="preserve"> </w:t>
      </w:r>
      <w:r w:rsidR="00AD4039" w:rsidRPr="008B7F41">
        <w:rPr>
          <w:rFonts w:ascii="Times New Roman" w:hAnsi="Times New Roman"/>
          <w:sz w:val="24"/>
          <w:szCs w:val="24"/>
        </w:rPr>
        <w:t>of</w:t>
      </w:r>
      <w:r w:rsidR="005C5984" w:rsidRPr="008B7F41">
        <w:rPr>
          <w:rFonts w:ascii="Times New Roman" w:hAnsi="Times New Roman"/>
          <w:sz w:val="24"/>
          <w:szCs w:val="24"/>
        </w:rPr>
        <w:t xml:space="preserve"> their products.</w:t>
      </w:r>
    </w:p>
    <w:p w14:paraId="1EDB059C" w14:textId="77777777" w:rsidR="00AD4039" w:rsidRPr="000E3216" w:rsidRDefault="00AD4039" w:rsidP="008B7F41">
      <w:pPr>
        <w:ind w:left="426" w:hanging="360"/>
        <w:rPr>
          <w:szCs w:val="24"/>
        </w:rPr>
      </w:pPr>
    </w:p>
    <w:p w14:paraId="5372F8DA" w14:textId="77777777" w:rsidR="005C5984" w:rsidRPr="008B7F41" w:rsidRDefault="005C5984" w:rsidP="008B7F41">
      <w:pPr>
        <w:pStyle w:val="ListParagraph"/>
        <w:numPr>
          <w:ilvl w:val="0"/>
          <w:numId w:val="8"/>
        </w:numPr>
        <w:spacing w:after="0" w:line="240" w:lineRule="auto"/>
        <w:ind w:left="426"/>
        <w:rPr>
          <w:rFonts w:ascii="Times New Roman" w:hAnsi="Times New Roman"/>
          <w:sz w:val="24"/>
          <w:szCs w:val="24"/>
        </w:rPr>
      </w:pPr>
      <w:r w:rsidRPr="008B7F41">
        <w:rPr>
          <w:rFonts w:ascii="Times New Roman" w:hAnsi="Times New Roman"/>
          <w:sz w:val="24"/>
          <w:szCs w:val="24"/>
        </w:rPr>
        <w:t>The D-values and temperature/time equivalents described in this document are guidelines only. Manufacturers should conduct a proper risk assessment taking into consideration the likely types and levels of microbial hazards present in their raw materials, characteristics of their own products in terms of effect on the hazards, and the treatment parameters required to inactivate any hazards that are reasonably likely to occur.</w:t>
      </w:r>
    </w:p>
    <w:p w14:paraId="7CC1B276" w14:textId="77777777" w:rsidR="00AD4039" w:rsidRPr="005C5984" w:rsidRDefault="00AD4039" w:rsidP="008B7F41">
      <w:pPr>
        <w:pStyle w:val="ListParagraph"/>
      </w:pPr>
    </w:p>
    <w:p w14:paraId="2DE84EF5" w14:textId="77777777" w:rsidR="00786686" w:rsidRDefault="008703C7" w:rsidP="00D7586B">
      <w:pPr>
        <w:pStyle w:val="Heading1"/>
      </w:pPr>
      <w:bookmarkStart w:id="2" w:name="_Toc438202929"/>
      <w:r>
        <w:t>Background</w:t>
      </w:r>
      <w:bookmarkEnd w:id="2"/>
    </w:p>
    <w:p w14:paraId="5926D115" w14:textId="77777777" w:rsidR="0060302F" w:rsidRDefault="0060302F" w:rsidP="008703C7">
      <w:pPr>
        <w:autoSpaceDE w:val="0"/>
        <w:autoSpaceDN w:val="0"/>
        <w:adjustRightInd w:val="0"/>
      </w:pPr>
    </w:p>
    <w:p w14:paraId="45E4BD94" w14:textId="77777777" w:rsidR="008703C7" w:rsidRDefault="008703C7" w:rsidP="008703C7">
      <w:pPr>
        <w:autoSpaceDE w:val="0"/>
        <w:autoSpaceDN w:val="0"/>
        <w:adjustRightInd w:val="0"/>
      </w:pPr>
      <w:r>
        <w:t xml:space="preserve">The thermal stability of hepatitis A virus is highly dependent on the food matrix. For example, </w:t>
      </w:r>
      <w:r w:rsidRPr="004F63C2">
        <w:t>FSANZ</w:t>
      </w:r>
      <w:r>
        <w:rPr>
          <w:rStyle w:val="FootnoteReference"/>
        </w:rPr>
        <w:footnoteReference w:id="1"/>
      </w:r>
      <w:r w:rsidRPr="004F63C2">
        <w:t xml:space="preserve"> state</w:t>
      </w:r>
      <w:r>
        <w:t>s</w:t>
      </w:r>
      <w:r w:rsidRPr="004F63C2">
        <w:t xml:space="preserve"> that complete inactivation of </w:t>
      </w:r>
      <w:r>
        <w:t>hepatitis A virus</w:t>
      </w:r>
      <w:r w:rsidRPr="004F63C2">
        <w:t xml:space="preserve"> has been observed in shellfish when</w:t>
      </w:r>
      <w:r>
        <w:t xml:space="preserve"> </w:t>
      </w:r>
      <w:r w:rsidRPr="004F63C2">
        <w:t>heated to 85°C for 3 minutes while maintaining a commercially acceptable</w:t>
      </w:r>
      <w:r>
        <w:t xml:space="preserve"> </w:t>
      </w:r>
      <w:r w:rsidRPr="004F63C2">
        <w:t xml:space="preserve">product. </w:t>
      </w:r>
      <w:r>
        <w:t>Similarly</w:t>
      </w:r>
      <w:r w:rsidRPr="004F63C2">
        <w:t>, heating milk and cream to 85°C for 30 seconds is sufficient to</w:t>
      </w:r>
      <w:r>
        <w:t xml:space="preserve"> </w:t>
      </w:r>
      <w:r w:rsidRPr="004F63C2">
        <w:t>cause a 5 log</w:t>
      </w:r>
      <w:r w:rsidRPr="004F63C2">
        <w:rPr>
          <w:vertAlign w:val="subscript"/>
        </w:rPr>
        <w:t>10</w:t>
      </w:r>
      <w:r w:rsidRPr="004F63C2">
        <w:t xml:space="preserve"> reduction in </w:t>
      </w:r>
      <w:r>
        <w:t xml:space="preserve">hepatitis A virus </w:t>
      </w:r>
      <w:r w:rsidRPr="004F63C2">
        <w:t>titre</w:t>
      </w:r>
      <w:r>
        <w:t xml:space="preserve">. </w:t>
      </w:r>
    </w:p>
    <w:p w14:paraId="7349B193" w14:textId="77777777" w:rsidR="008703C7" w:rsidRDefault="008703C7" w:rsidP="008703C7"/>
    <w:p w14:paraId="6D2E5A4C" w14:textId="77777777" w:rsidR="008703C7" w:rsidRDefault="008703C7" w:rsidP="008703C7">
      <w:r>
        <w:t xml:space="preserve">The United States </w:t>
      </w:r>
      <w:proofErr w:type="spellStart"/>
      <w:r w:rsidRPr="001E5DFC">
        <w:rPr>
          <w:i/>
        </w:rPr>
        <w:t>Centers</w:t>
      </w:r>
      <w:proofErr w:type="spellEnd"/>
      <w:r w:rsidRPr="001E5DFC">
        <w:rPr>
          <w:i/>
        </w:rPr>
        <w:t xml:space="preserve"> for Disease Control </w:t>
      </w:r>
      <w:r>
        <w:t>(</w:t>
      </w:r>
      <w:r w:rsidR="00E86F28">
        <w:t xml:space="preserve">US </w:t>
      </w:r>
      <w:r>
        <w:t xml:space="preserve">CDC) have reported that hepatitis A virus is inactivated at temperatures of 85°C for 1 minute, based on studies using laboratory media (US CDC 2004). This is consistent with the World Health Organization’s statement on hepatitis A virus inactivation (WHO 2000). Notwithstanding this general guidance, there remains uncertainty regarding the level of reduction of hepatitis A virus that would be specifically achieved in berry products (Codex 2012, </w:t>
      </w:r>
      <w:proofErr w:type="spellStart"/>
      <w:r>
        <w:t>Baert</w:t>
      </w:r>
      <w:proofErr w:type="spellEnd"/>
      <w:r>
        <w:t xml:space="preserve"> </w:t>
      </w:r>
      <w:r w:rsidRPr="00C56863">
        <w:rPr>
          <w:i/>
        </w:rPr>
        <w:t>et al</w:t>
      </w:r>
      <w:r>
        <w:t xml:space="preserve"> 2009 and </w:t>
      </w:r>
      <w:proofErr w:type="spellStart"/>
      <w:r>
        <w:t>Baert</w:t>
      </w:r>
      <w:proofErr w:type="spellEnd"/>
      <w:r>
        <w:t xml:space="preserve"> 2013). </w:t>
      </w:r>
    </w:p>
    <w:p w14:paraId="264B063A" w14:textId="77777777" w:rsidR="008703C7" w:rsidRDefault="008703C7" w:rsidP="008703C7"/>
    <w:p w14:paraId="273AB936" w14:textId="77777777" w:rsidR="008703C7" w:rsidRDefault="008703C7" w:rsidP="008703C7">
      <w:r>
        <w:t>MPI and FSANZ are aware that food processors may be cooking their berry products at various temperatures and times, and guidance on temperature/time combinations for determining inactivation has been requested.</w:t>
      </w:r>
    </w:p>
    <w:p w14:paraId="12E013CD" w14:textId="77777777" w:rsidR="00C12EBC" w:rsidRDefault="00C12EBC"/>
    <w:p w14:paraId="39646861" w14:textId="77777777" w:rsidR="008703C7" w:rsidRPr="008703C7" w:rsidRDefault="008703C7" w:rsidP="008703C7">
      <w:pPr>
        <w:pStyle w:val="Heading1"/>
      </w:pPr>
      <w:bookmarkStart w:id="3" w:name="_Toc438202930"/>
      <w:r>
        <w:lastRenderedPageBreak/>
        <w:t>Published</w:t>
      </w:r>
      <w:r w:rsidRPr="00B44677">
        <w:t xml:space="preserve"> guidance </w:t>
      </w:r>
      <w:r w:rsidRPr="001E5DFC">
        <w:t>on hepatitis A virus thermal</w:t>
      </w:r>
      <w:r w:rsidRPr="00B44677">
        <w:t xml:space="preserve"> inactivation </w:t>
      </w:r>
      <w:r>
        <w:t>in berry products</w:t>
      </w:r>
      <w:bookmarkEnd w:id="3"/>
    </w:p>
    <w:p w14:paraId="5C0520F6" w14:textId="77777777" w:rsidR="008703C7" w:rsidRDefault="008703C7" w:rsidP="008703C7"/>
    <w:p w14:paraId="4BCE6165" w14:textId="77777777" w:rsidR="008703C7" w:rsidRDefault="008703C7" w:rsidP="008703C7">
      <w:r>
        <w:t>MPI and FSANZ are not aware of published D values</w:t>
      </w:r>
      <w:r>
        <w:rPr>
          <w:rStyle w:val="FootnoteReference"/>
        </w:rPr>
        <w:footnoteReference w:id="2"/>
      </w:r>
      <w:r>
        <w:t xml:space="preserve"> or temperature/time equivalence tables for thermal inactivation of hepatitis A virus in berry fruits. </w:t>
      </w:r>
    </w:p>
    <w:p w14:paraId="477B4C56" w14:textId="77777777" w:rsidR="008703C7" w:rsidRDefault="008703C7" w:rsidP="008703C7"/>
    <w:p w14:paraId="602C679E" w14:textId="77777777" w:rsidR="008703C7" w:rsidRPr="008703C7" w:rsidRDefault="00C6159E" w:rsidP="008703C7">
      <w:pPr>
        <w:pStyle w:val="Heading1"/>
      </w:pPr>
      <w:bookmarkStart w:id="4" w:name="_Toc438202931"/>
      <w:r w:rsidRPr="00C56863">
        <w:t>Guidelines for</w:t>
      </w:r>
      <w:r>
        <w:t xml:space="preserve"> thermal</w:t>
      </w:r>
      <w:r w:rsidRPr="00C56863">
        <w:t xml:space="preserve"> </w:t>
      </w:r>
      <w:r>
        <w:t>inactivation in berries</w:t>
      </w:r>
      <w:bookmarkEnd w:id="4"/>
    </w:p>
    <w:p w14:paraId="228FF337" w14:textId="77777777" w:rsidR="008703C7" w:rsidRDefault="008703C7" w:rsidP="008703C7"/>
    <w:p w14:paraId="07723E28" w14:textId="77777777" w:rsidR="00C6159E" w:rsidRPr="00C7133A" w:rsidRDefault="00C6159E" w:rsidP="00C6159E">
      <w:r w:rsidRPr="00C7133A">
        <w:t xml:space="preserve">MPI and FSANZ recommend cooking </w:t>
      </w:r>
      <w:r w:rsidR="004023F4" w:rsidRPr="00C7133A">
        <w:t>food</w:t>
      </w:r>
      <w:r w:rsidRPr="00C7133A">
        <w:t xml:space="preserve"> to 85°C for 1 minute to inactivate hepatitis A virus</w:t>
      </w:r>
      <w:r w:rsidR="00192FB9" w:rsidRPr="00C7133A">
        <w:t xml:space="preserve"> but recognise that the extent of virus inactivation is influenced by the food matrix</w:t>
      </w:r>
      <w:r w:rsidRPr="00C7133A">
        <w:t xml:space="preserve">.  </w:t>
      </w:r>
    </w:p>
    <w:p w14:paraId="44C72859" w14:textId="77777777" w:rsidR="00C6159E" w:rsidRPr="00C6558D" w:rsidRDefault="00C6159E" w:rsidP="00C6159E">
      <w:pPr>
        <w:rPr>
          <w:highlight w:val="yellow"/>
        </w:rPr>
      </w:pPr>
    </w:p>
    <w:p w14:paraId="2763B16E" w14:textId="77777777" w:rsidR="00C6159E" w:rsidRDefault="00C6159E" w:rsidP="00C6159E">
      <w:r w:rsidRPr="00C7133A">
        <w:t>The following guidelines based on available experimental data should be considered when evaluating the processing parameters required for thermal inactivation</w:t>
      </w:r>
      <w:r w:rsidR="004023F4" w:rsidRPr="00C7133A">
        <w:t xml:space="preserve"> in berries</w:t>
      </w:r>
      <w:r w:rsidRPr="00C7133A">
        <w:t xml:space="preserve"> </w:t>
      </w:r>
      <w:r w:rsidR="004023F4" w:rsidRPr="00C7133A">
        <w:t xml:space="preserve">with different product characteristics (pH and sugar content) and alternative </w:t>
      </w:r>
      <w:r w:rsidRPr="00C7133A">
        <w:t>temperatures.</w:t>
      </w:r>
      <w:r>
        <w:t xml:space="preserve"> </w:t>
      </w:r>
    </w:p>
    <w:p w14:paraId="369A8D4C" w14:textId="77777777" w:rsidR="00C6159E" w:rsidRDefault="00C6159E" w:rsidP="00C6159E"/>
    <w:p w14:paraId="622B6942" w14:textId="77777777" w:rsidR="008703C7" w:rsidRDefault="008703C7" w:rsidP="008703C7">
      <w:r>
        <w:t>There have been a small number of studies as described in recent reviews (</w:t>
      </w:r>
      <w:proofErr w:type="spellStart"/>
      <w:r>
        <w:t>Baert</w:t>
      </w:r>
      <w:proofErr w:type="spellEnd"/>
      <w:r>
        <w:t xml:space="preserve"> </w:t>
      </w:r>
      <w:r w:rsidRPr="002D0C74">
        <w:rPr>
          <w:i/>
        </w:rPr>
        <w:t>et al</w:t>
      </w:r>
      <w:r>
        <w:t xml:space="preserve"> 2013, Sanchez </w:t>
      </w:r>
      <w:r w:rsidRPr="002D0C74">
        <w:rPr>
          <w:i/>
        </w:rPr>
        <w:t>et al</w:t>
      </w:r>
      <w:r>
        <w:t xml:space="preserve"> 2015), although all are limited in that thermal resistance studies were carried out in capillary tubes, not commercial manufacturing operations, and used tissue culture adapted hepatitis A virus strains and may not be representative of wild-type viruses.</w:t>
      </w:r>
      <w:r w:rsidRPr="006A1823">
        <w:t xml:space="preserve"> </w:t>
      </w:r>
      <w:r>
        <w:t>Notwithstanding these limitations, the studies provide useful guidance for determining adequate temperature-time combinations for inactivation of hepatitis A virus in berry fruits.</w:t>
      </w:r>
    </w:p>
    <w:p w14:paraId="36720236" w14:textId="77777777" w:rsidR="008703C7" w:rsidRDefault="008703C7" w:rsidP="008703C7"/>
    <w:p w14:paraId="4ECBA769" w14:textId="77777777" w:rsidR="008703C7" w:rsidRDefault="008703C7" w:rsidP="008703C7">
      <w:r>
        <w:t xml:space="preserve">Based on available experimental data, the variables with the greatest influence on thermal resistance of hepatitis A virus in berries are the concentration of sugar (measured as </w:t>
      </w:r>
      <w:r w:rsidRPr="00A75D65">
        <w:t>°</w:t>
      </w:r>
      <w:r>
        <w:t xml:space="preserve">Brix) and </w:t>
      </w:r>
      <w:proofErr w:type="spellStart"/>
      <w:r>
        <w:t>pH.</w:t>
      </w:r>
      <w:proofErr w:type="spellEnd"/>
      <w:r>
        <w:t xml:space="preserve"> Normal characteristics of berry fruits are: </w:t>
      </w:r>
    </w:p>
    <w:p w14:paraId="75E24028" w14:textId="77777777" w:rsidR="008703C7" w:rsidRDefault="008703C7" w:rsidP="008703C7"/>
    <w:p w14:paraId="03C436A5" w14:textId="77777777" w:rsidR="008703C7" w:rsidRPr="00C6558D" w:rsidRDefault="008703C7" w:rsidP="00C6558D">
      <w:pPr>
        <w:pStyle w:val="ListParagraph"/>
        <w:numPr>
          <w:ilvl w:val="0"/>
          <w:numId w:val="6"/>
        </w:numPr>
        <w:spacing w:after="0"/>
        <w:rPr>
          <w:rFonts w:ascii="Times New Roman" w:hAnsi="Times New Roman"/>
          <w:sz w:val="24"/>
          <w:szCs w:val="24"/>
        </w:rPr>
      </w:pPr>
      <w:r w:rsidRPr="00C6558D">
        <w:rPr>
          <w:rFonts w:ascii="Times New Roman" w:hAnsi="Times New Roman"/>
          <w:sz w:val="24"/>
          <w:szCs w:val="24"/>
        </w:rPr>
        <w:t xml:space="preserve">natural sugar content of berries = 5°Brix (5% </w:t>
      </w:r>
      <w:proofErr w:type="spellStart"/>
      <w:r w:rsidRPr="00C6558D">
        <w:rPr>
          <w:rFonts w:ascii="Times New Roman" w:hAnsi="Times New Roman"/>
          <w:sz w:val="24"/>
          <w:szCs w:val="24"/>
        </w:rPr>
        <w:t>wt</w:t>
      </w:r>
      <w:proofErr w:type="spellEnd"/>
      <w:r w:rsidRPr="00C6558D">
        <w:rPr>
          <w:rFonts w:ascii="Times New Roman" w:hAnsi="Times New Roman"/>
          <w:sz w:val="24"/>
          <w:szCs w:val="24"/>
        </w:rPr>
        <w:t>/</w:t>
      </w:r>
      <w:proofErr w:type="spellStart"/>
      <w:r w:rsidRPr="00C6558D">
        <w:rPr>
          <w:rFonts w:ascii="Times New Roman" w:hAnsi="Times New Roman"/>
          <w:sz w:val="24"/>
          <w:szCs w:val="24"/>
        </w:rPr>
        <w:t>wt</w:t>
      </w:r>
      <w:proofErr w:type="spellEnd"/>
      <w:r w:rsidRPr="00C6558D">
        <w:rPr>
          <w:rFonts w:ascii="Times New Roman" w:hAnsi="Times New Roman"/>
          <w:sz w:val="24"/>
          <w:szCs w:val="24"/>
        </w:rPr>
        <w:t>)</w:t>
      </w:r>
    </w:p>
    <w:p w14:paraId="19711203" w14:textId="77777777" w:rsidR="00960995" w:rsidRPr="00C7133A" w:rsidRDefault="00960995" w:rsidP="00960995">
      <w:pPr>
        <w:pStyle w:val="ListParagraph"/>
        <w:numPr>
          <w:ilvl w:val="0"/>
          <w:numId w:val="6"/>
        </w:numPr>
        <w:spacing w:after="0"/>
        <w:rPr>
          <w:rFonts w:ascii="Times New Roman" w:hAnsi="Times New Roman"/>
          <w:sz w:val="24"/>
          <w:szCs w:val="24"/>
        </w:rPr>
      </w:pPr>
      <w:r w:rsidRPr="00C7133A">
        <w:rPr>
          <w:rFonts w:ascii="Times New Roman" w:hAnsi="Times New Roman"/>
          <w:sz w:val="24"/>
          <w:szCs w:val="24"/>
        </w:rPr>
        <w:t>pH of various ber</w:t>
      </w:r>
      <w:r w:rsidR="00DE1C45">
        <w:rPr>
          <w:rFonts w:ascii="Times New Roman" w:hAnsi="Times New Roman"/>
          <w:sz w:val="24"/>
          <w:szCs w:val="24"/>
        </w:rPr>
        <w:t>ries: 2.3 to 4.5,  (ICMSF, 2005;</w:t>
      </w:r>
      <w:r w:rsidRPr="00C7133A">
        <w:rPr>
          <w:rFonts w:ascii="Times New Roman" w:hAnsi="Times New Roman"/>
          <w:sz w:val="24"/>
          <w:szCs w:val="24"/>
        </w:rPr>
        <w:t xml:space="preserve"> FDA, 2012)</w:t>
      </w:r>
    </w:p>
    <w:p w14:paraId="21CCCE2A" w14:textId="77777777" w:rsidR="00960995" w:rsidRPr="00C6558D" w:rsidRDefault="00960995" w:rsidP="00C6558D">
      <w:pPr>
        <w:ind w:left="720"/>
        <w:rPr>
          <w:highlight w:val="yellow"/>
        </w:rPr>
      </w:pPr>
    </w:p>
    <w:tbl>
      <w:tblPr>
        <w:tblStyle w:val="TableGrid1"/>
        <w:tblW w:w="0" w:type="auto"/>
        <w:tblInd w:w="24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583"/>
      </w:tblGrid>
      <w:tr w:rsidR="00960995" w:rsidRPr="00C6558D" w14:paraId="5360B686" w14:textId="77777777" w:rsidTr="00C6558D">
        <w:tc>
          <w:tcPr>
            <w:tcW w:w="2103" w:type="dxa"/>
            <w:tcBorders>
              <w:top w:val="single" w:sz="4" w:space="0" w:color="auto"/>
              <w:bottom w:val="single" w:sz="4" w:space="0" w:color="auto"/>
            </w:tcBorders>
          </w:tcPr>
          <w:p w14:paraId="490DE944" w14:textId="77777777" w:rsidR="00960995" w:rsidRPr="00C7133A" w:rsidRDefault="00960995" w:rsidP="00C6558D">
            <w:pPr>
              <w:spacing w:before="60" w:after="60"/>
              <w:jc w:val="center"/>
              <w:rPr>
                <w:rFonts w:ascii="Times New Roman" w:hAnsi="Times New Roman" w:cs="Times New Roman"/>
                <w:b/>
                <w:szCs w:val="24"/>
              </w:rPr>
            </w:pPr>
            <w:r w:rsidRPr="00C7133A">
              <w:rPr>
                <w:b/>
                <w:szCs w:val="24"/>
              </w:rPr>
              <w:t>Fruit</w:t>
            </w:r>
          </w:p>
        </w:tc>
        <w:tc>
          <w:tcPr>
            <w:tcW w:w="1583" w:type="dxa"/>
            <w:tcBorders>
              <w:top w:val="single" w:sz="4" w:space="0" w:color="auto"/>
              <w:bottom w:val="single" w:sz="4" w:space="0" w:color="auto"/>
            </w:tcBorders>
          </w:tcPr>
          <w:p w14:paraId="35BA9E89" w14:textId="77777777" w:rsidR="00960995" w:rsidRPr="00C7133A" w:rsidRDefault="00960995" w:rsidP="00C6558D">
            <w:pPr>
              <w:spacing w:before="60" w:after="60"/>
              <w:jc w:val="center"/>
              <w:rPr>
                <w:rFonts w:ascii="Times New Roman" w:hAnsi="Times New Roman" w:cs="Times New Roman"/>
                <w:b/>
                <w:szCs w:val="24"/>
              </w:rPr>
            </w:pPr>
            <w:r w:rsidRPr="00C7133A">
              <w:rPr>
                <w:b/>
                <w:szCs w:val="24"/>
              </w:rPr>
              <w:t>pH</w:t>
            </w:r>
          </w:p>
        </w:tc>
      </w:tr>
      <w:tr w:rsidR="00960995" w:rsidRPr="00C6558D" w14:paraId="789F936A" w14:textId="77777777" w:rsidTr="00C6558D">
        <w:tc>
          <w:tcPr>
            <w:tcW w:w="2103" w:type="dxa"/>
            <w:tcBorders>
              <w:top w:val="single" w:sz="4" w:space="0" w:color="auto"/>
            </w:tcBorders>
          </w:tcPr>
          <w:p w14:paraId="40471AD5"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Blackberry</w:t>
            </w:r>
          </w:p>
        </w:tc>
        <w:tc>
          <w:tcPr>
            <w:tcW w:w="1583" w:type="dxa"/>
            <w:tcBorders>
              <w:top w:val="single" w:sz="4" w:space="0" w:color="auto"/>
            </w:tcBorders>
          </w:tcPr>
          <w:p w14:paraId="02DD234B"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3.0 – 4.5</w:t>
            </w:r>
          </w:p>
        </w:tc>
      </w:tr>
      <w:tr w:rsidR="00960995" w:rsidRPr="00C6558D" w14:paraId="5B789B8F" w14:textId="77777777" w:rsidTr="00C6558D">
        <w:tc>
          <w:tcPr>
            <w:tcW w:w="2103" w:type="dxa"/>
          </w:tcPr>
          <w:p w14:paraId="1CE738EE"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Blueberry</w:t>
            </w:r>
          </w:p>
        </w:tc>
        <w:tc>
          <w:tcPr>
            <w:tcW w:w="1583" w:type="dxa"/>
          </w:tcPr>
          <w:p w14:paraId="6D7FD0C2"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3.2 – 3.7</w:t>
            </w:r>
          </w:p>
        </w:tc>
      </w:tr>
      <w:tr w:rsidR="00960995" w:rsidRPr="00C6558D" w14:paraId="62B895BC" w14:textId="77777777" w:rsidTr="00C6558D">
        <w:tc>
          <w:tcPr>
            <w:tcW w:w="2103" w:type="dxa"/>
          </w:tcPr>
          <w:p w14:paraId="3CF4AB2B"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Cranberry</w:t>
            </w:r>
          </w:p>
        </w:tc>
        <w:tc>
          <w:tcPr>
            <w:tcW w:w="1583" w:type="dxa"/>
          </w:tcPr>
          <w:p w14:paraId="115771E2"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2.3 – 2.7</w:t>
            </w:r>
          </w:p>
        </w:tc>
      </w:tr>
      <w:tr w:rsidR="00960995" w:rsidRPr="00C6558D" w14:paraId="1E7AFC91" w14:textId="77777777" w:rsidTr="00C6558D">
        <w:tc>
          <w:tcPr>
            <w:tcW w:w="2103" w:type="dxa"/>
          </w:tcPr>
          <w:p w14:paraId="5E5534B2"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Raspberry</w:t>
            </w:r>
          </w:p>
        </w:tc>
        <w:tc>
          <w:tcPr>
            <w:tcW w:w="1583" w:type="dxa"/>
          </w:tcPr>
          <w:p w14:paraId="05D383FC"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2.9 – 3.7</w:t>
            </w:r>
          </w:p>
        </w:tc>
      </w:tr>
      <w:tr w:rsidR="00960995" w:rsidRPr="00C6558D" w14:paraId="68063278" w14:textId="77777777" w:rsidTr="00C6558D">
        <w:tc>
          <w:tcPr>
            <w:tcW w:w="2103" w:type="dxa"/>
            <w:tcBorders>
              <w:bottom w:val="nil"/>
            </w:tcBorders>
          </w:tcPr>
          <w:p w14:paraId="6F380BFB"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Redcurrant</w:t>
            </w:r>
          </w:p>
        </w:tc>
        <w:tc>
          <w:tcPr>
            <w:tcW w:w="1583" w:type="dxa"/>
            <w:tcBorders>
              <w:bottom w:val="nil"/>
            </w:tcBorders>
          </w:tcPr>
          <w:p w14:paraId="54309D0F"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2.9</w:t>
            </w:r>
          </w:p>
        </w:tc>
      </w:tr>
      <w:tr w:rsidR="00960995" w:rsidRPr="00960995" w14:paraId="2C7762D8" w14:textId="77777777" w:rsidTr="00C6558D">
        <w:tc>
          <w:tcPr>
            <w:tcW w:w="2103" w:type="dxa"/>
            <w:tcBorders>
              <w:top w:val="nil"/>
              <w:bottom w:val="single" w:sz="4" w:space="0" w:color="auto"/>
            </w:tcBorders>
          </w:tcPr>
          <w:p w14:paraId="50CB269F"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Strawberry</w:t>
            </w:r>
          </w:p>
        </w:tc>
        <w:tc>
          <w:tcPr>
            <w:tcW w:w="1583" w:type="dxa"/>
            <w:tcBorders>
              <w:top w:val="nil"/>
              <w:bottom w:val="single" w:sz="4" w:space="0" w:color="auto"/>
            </w:tcBorders>
          </w:tcPr>
          <w:p w14:paraId="1C95735C" w14:textId="77777777" w:rsidR="00960995" w:rsidRPr="00C7133A" w:rsidRDefault="00960995" w:rsidP="00C6558D">
            <w:pPr>
              <w:spacing w:before="60" w:after="60"/>
              <w:jc w:val="center"/>
              <w:rPr>
                <w:rFonts w:ascii="Times New Roman" w:hAnsi="Times New Roman" w:cs="Times New Roman"/>
                <w:szCs w:val="24"/>
              </w:rPr>
            </w:pPr>
            <w:r w:rsidRPr="00C7133A">
              <w:rPr>
                <w:szCs w:val="24"/>
              </w:rPr>
              <w:t>2.3 – 3.9</w:t>
            </w:r>
          </w:p>
        </w:tc>
      </w:tr>
    </w:tbl>
    <w:p w14:paraId="7B17CAD0" w14:textId="77777777" w:rsidR="00960995" w:rsidRDefault="00960995" w:rsidP="00C6558D"/>
    <w:p w14:paraId="5ACC7F4D" w14:textId="77777777" w:rsidR="008703C7" w:rsidRDefault="008703C7" w:rsidP="008703C7"/>
    <w:p w14:paraId="723CA2D5" w14:textId="77777777" w:rsidR="008703C7" w:rsidRDefault="008703C7" w:rsidP="008703C7">
      <w:r>
        <w:t>The level of hepatitis A virus in contaminated berries reported internationally is largely unknown</w:t>
      </w:r>
      <w:r w:rsidRPr="001E5DFC">
        <w:t xml:space="preserve"> </w:t>
      </w:r>
      <w:r>
        <w:t xml:space="preserve">due mainly to limitations in laboratory methods. </w:t>
      </w:r>
    </w:p>
    <w:p w14:paraId="1B3FBADE" w14:textId="77777777" w:rsidR="008703C7" w:rsidRDefault="008703C7" w:rsidP="008703C7"/>
    <w:p w14:paraId="76F0A94B" w14:textId="77777777" w:rsidR="008703C7" w:rsidRDefault="008703C7" w:rsidP="008703C7">
      <w:r>
        <w:t>A target 6-log reduction would be considered to provide satisfactory assurance for control of the hazard.</w:t>
      </w:r>
      <w:r w:rsidRPr="00016F14">
        <w:t xml:space="preserve"> </w:t>
      </w:r>
      <w:r w:rsidRPr="00B44677">
        <w:t xml:space="preserve">Lower log-reductions may be applicable if </w:t>
      </w:r>
      <w:r w:rsidRPr="00C7133A">
        <w:t xml:space="preserve">improved methods and the availability </w:t>
      </w:r>
      <w:r w:rsidRPr="00C7133A">
        <w:lastRenderedPageBreak/>
        <w:t xml:space="preserve">of more robust data </w:t>
      </w:r>
      <w:r w:rsidRPr="00B44677">
        <w:t xml:space="preserve">could provide </w:t>
      </w:r>
      <w:r>
        <w:t xml:space="preserve">stronger </w:t>
      </w:r>
      <w:r w:rsidRPr="00B44677">
        <w:t>assurances on the microbiological status of the fruit being processed.</w:t>
      </w:r>
    </w:p>
    <w:p w14:paraId="099B8980" w14:textId="77777777" w:rsidR="001A679E" w:rsidRDefault="001A679E" w:rsidP="008703C7"/>
    <w:p w14:paraId="2EF6B284" w14:textId="77777777" w:rsidR="008703C7" w:rsidRDefault="00AE2B9A" w:rsidP="00C6159E">
      <w:pPr>
        <w:pStyle w:val="Heading2"/>
      </w:pPr>
      <w:bookmarkStart w:id="5" w:name="_Toc438202932"/>
      <w:r>
        <w:t>N</w:t>
      </w:r>
      <w:r w:rsidR="008703C7" w:rsidRPr="00C56863">
        <w:t>atural fruits (no added sugar)</w:t>
      </w:r>
      <w:bookmarkEnd w:id="5"/>
    </w:p>
    <w:p w14:paraId="492B4293" w14:textId="77777777" w:rsidR="008703C7" w:rsidRDefault="008703C7" w:rsidP="008703C7"/>
    <w:p w14:paraId="1BA5EC54" w14:textId="77777777" w:rsidR="008703C7" w:rsidRDefault="008703C7" w:rsidP="008703C7">
      <w:r>
        <w:t>Inactivation of hepatitis A virus has been described for some fruits with no added sugar and a na</w:t>
      </w:r>
      <w:r w:rsidR="003068CD">
        <w:t>tural pH (</w:t>
      </w:r>
      <w:proofErr w:type="spellStart"/>
      <w:r w:rsidR="003068CD">
        <w:t>Deboosere</w:t>
      </w:r>
      <w:proofErr w:type="spellEnd"/>
      <w:r w:rsidR="003068CD">
        <w:t xml:space="preserve"> et al 2010)</w:t>
      </w:r>
      <w:r>
        <w:t xml:space="preserve"> (Table 1), and different time-temperature combinations calculated to provide some guidelines for a 6-log reduction. </w:t>
      </w:r>
    </w:p>
    <w:p w14:paraId="47680DB5" w14:textId="77777777" w:rsidR="001A679E" w:rsidRDefault="001A679E" w:rsidP="001A679E"/>
    <w:p w14:paraId="7DE2C59F" w14:textId="77777777" w:rsidR="001A679E" w:rsidRDefault="001A679E" w:rsidP="001A679E"/>
    <w:p w14:paraId="7FC4620A" w14:textId="77777777" w:rsidR="001A679E" w:rsidRDefault="001A679E" w:rsidP="001A679E">
      <w:pPr>
        <w:ind w:left="851" w:hanging="851"/>
      </w:pPr>
      <w:r>
        <w:t>Table 1</w:t>
      </w:r>
      <w:r>
        <w:tab/>
        <w:t>Calculated time required for 6-log reduction of HAV at 3 temperatures in natural Strawberries, Raspberries and Bilberries</w:t>
      </w:r>
      <w:r>
        <w:rPr>
          <w:rStyle w:val="FootnoteReference"/>
        </w:rPr>
        <w:footnoteReference w:id="3"/>
      </w:r>
      <w:r>
        <w:t>.</w:t>
      </w:r>
    </w:p>
    <w:p w14:paraId="2BF20E73" w14:textId="77777777" w:rsidR="001A679E" w:rsidRDefault="001A679E" w:rsidP="001A679E"/>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134"/>
        <w:gridCol w:w="1134"/>
        <w:gridCol w:w="1134"/>
        <w:gridCol w:w="1134"/>
      </w:tblGrid>
      <w:tr w:rsidR="001A679E" w:rsidRPr="005C7058" w14:paraId="32ECFEE5" w14:textId="77777777" w:rsidTr="007924CA">
        <w:trPr>
          <w:jc w:val="center"/>
        </w:trPr>
        <w:tc>
          <w:tcPr>
            <w:tcW w:w="1355" w:type="dxa"/>
            <w:vMerge w:val="restart"/>
            <w:tcBorders>
              <w:top w:val="single" w:sz="4" w:space="0" w:color="auto"/>
            </w:tcBorders>
            <w:vAlign w:val="center"/>
          </w:tcPr>
          <w:p w14:paraId="00210C27" w14:textId="77777777" w:rsidR="001A679E" w:rsidRPr="005C7058" w:rsidRDefault="001A679E" w:rsidP="007924CA">
            <w:pPr>
              <w:spacing w:before="60" w:after="60"/>
              <w:jc w:val="center"/>
            </w:pPr>
            <w:r w:rsidRPr="005C7058">
              <w:t>Fruit</w:t>
            </w:r>
          </w:p>
        </w:tc>
        <w:tc>
          <w:tcPr>
            <w:tcW w:w="1134" w:type="dxa"/>
            <w:vMerge w:val="restart"/>
            <w:tcBorders>
              <w:top w:val="single" w:sz="4" w:space="0" w:color="auto"/>
            </w:tcBorders>
            <w:vAlign w:val="center"/>
          </w:tcPr>
          <w:p w14:paraId="0EDBD464" w14:textId="77777777" w:rsidR="001A679E" w:rsidRPr="005C7058" w:rsidRDefault="001A679E" w:rsidP="007924CA">
            <w:pPr>
              <w:spacing w:before="60" w:after="60"/>
              <w:jc w:val="center"/>
            </w:pPr>
            <w:r w:rsidRPr="005C7058">
              <w:t>Natural pH</w:t>
            </w:r>
          </w:p>
        </w:tc>
        <w:tc>
          <w:tcPr>
            <w:tcW w:w="3402" w:type="dxa"/>
            <w:gridSpan w:val="3"/>
            <w:tcBorders>
              <w:top w:val="single" w:sz="4" w:space="0" w:color="auto"/>
              <w:bottom w:val="single" w:sz="4" w:space="0" w:color="auto"/>
            </w:tcBorders>
          </w:tcPr>
          <w:p w14:paraId="226FB7DB" w14:textId="77777777" w:rsidR="001A679E" w:rsidRPr="005C7058" w:rsidRDefault="001A679E" w:rsidP="007924CA">
            <w:pPr>
              <w:spacing w:before="60" w:after="60"/>
              <w:jc w:val="center"/>
            </w:pPr>
            <w:r>
              <w:t>Time required for 6-log reduction (minutes)</w:t>
            </w:r>
          </w:p>
        </w:tc>
      </w:tr>
      <w:tr w:rsidR="001A679E" w:rsidRPr="005C7058" w14:paraId="62C9777E" w14:textId="77777777" w:rsidTr="007924CA">
        <w:trPr>
          <w:jc w:val="center"/>
        </w:trPr>
        <w:tc>
          <w:tcPr>
            <w:tcW w:w="1355" w:type="dxa"/>
            <w:vMerge/>
            <w:tcBorders>
              <w:bottom w:val="single" w:sz="4" w:space="0" w:color="auto"/>
            </w:tcBorders>
          </w:tcPr>
          <w:p w14:paraId="48FB54EF" w14:textId="77777777" w:rsidR="001A679E" w:rsidRPr="005C7058" w:rsidRDefault="001A679E" w:rsidP="007924CA">
            <w:pPr>
              <w:spacing w:before="60" w:after="60"/>
              <w:jc w:val="center"/>
            </w:pPr>
          </w:p>
        </w:tc>
        <w:tc>
          <w:tcPr>
            <w:tcW w:w="1134" w:type="dxa"/>
            <w:vMerge/>
            <w:tcBorders>
              <w:bottom w:val="single" w:sz="4" w:space="0" w:color="auto"/>
            </w:tcBorders>
          </w:tcPr>
          <w:p w14:paraId="6CF62213" w14:textId="77777777" w:rsidR="001A679E" w:rsidRPr="005C7058" w:rsidRDefault="001A679E" w:rsidP="007924CA">
            <w:pPr>
              <w:spacing w:before="60" w:after="60"/>
              <w:jc w:val="center"/>
            </w:pPr>
          </w:p>
        </w:tc>
        <w:tc>
          <w:tcPr>
            <w:tcW w:w="1134" w:type="dxa"/>
            <w:tcBorders>
              <w:top w:val="single" w:sz="4" w:space="0" w:color="auto"/>
              <w:bottom w:val="single" w:sz="4" w:space="0" w:color="auto"/>
            </w:tcBorders>
          </w:tcPr>
          <w:p w14:paraId="39861728" w14:textId="77777777" w:rsidR="001A679E" w:rsidRPr="001A679E" w:rsidRDefault="001A679E" w:rsidP="007924CA">
            <w:pPr>
              <w:spacing w:before="60" w:after="60"/>
              <w:jc w:val="center"/>
            </w:pPr>
            <w:r w:rsidRPr="001A679E">
              <w:t>65°C</w:t>
            </w:r>
          </w:p>
        </w:tc>
        <w:tc>
          <w:tcPr>
            <w:tcW w:w="1134" w:type="dxa"/>
            <w:tcBorders>
              <w:top w:val="single" w:sz="4" w:space="0" w:color="auto"/>
              <w:bottom w:val="single" w:sz="4" w:space="0" w:color="auto"/>
            </w:tcBorders>
          </w:tcPr>
          <w:p w14:paraId="683334B8" w14:textId="77777777" w:rsidR="001A679E" w:rsidRPr="001A679E" w:rsidRDefault="001A679E" w:rsidP="007924CA">
            <w:pPr>
              <w:spacing w:before="60" w:after="60"/>
              <w:jc w:val="center"/>
            </w:pPr>
            <w:r w:rsidRPr="001A679E">
              <w:t>70°C</w:t>
            </w:r>
          </w:p>
        </w:tc>
        <w:tc>
          <w:tcPr>
            <w:tcW w:w="1134" w:type="dxa"/>
            <w:tcBorders>
              <w:top w:val="single" w:sz="4" w:space="0" w:color="auto"/>
              <w:bottom w:val="single" w:sz="4" w:space="0" w:color="auto"/>
            </w:tcBorders>
          </w:tcPr>
          <w:p w14:paraId="0F7A52DC" w14:textId="77777777" w:rsidR="001A679E" w:rsidRPr="001A679E" w:rsidRDefault="001A679E" w:rsidP="007924CA">
            <w:pPr>
              <w:spacing w:before="60" w:after="60"/>
              <w:jc w:val="center"/>
            </w:pPr>
            <w:r w:rsidRPr="001A679E">
              <w:t>75°C</w:t>
            </w:r>
          </w:p>
        </w:tc>
      </w:tr>
      <w:tr w:rsidR="001A679E" w:rsidRPr="005C7058" w14:paraId="3D256388" w14:textId="77777777" w:rsidTr="007924CA">
        <w:trPr>
          <w:jc w:val="center"/>
        </w:trPr>
        <w:tc>
          <w:tcPr>
            <w:tcW w:w="1355" w:type="dxa"/>
            <w:tcBorders>
              <w:top w:val="single" w:sz="4" w:space="0" w:color="auto"/>
            </w:tcBorders>
          </w:tcPr>
          <w:p w14:paraId="65FA181A" w14:textId="77777777" w:rsidR="001A679E" w:rsidRPr="005C7058" w:rsidRDefault="001A679E" w:rsidP="007924CA">
            <w:pPr>
              <w:spacing w:before="60" w:after="60"/>
            </w:pPr>
            <w:r w:rsidRPr="005C7058">
              <w:t>Strawberries</w:t>
            </w:r>
          </w:p>
        </w:tc>
        <w:tc>
          <w:tcPr>
            <w:tcW w:w="1134" w:type="dxa"/>
            <w:tcBorders>
              <w:top w:val="single" w:sz="4" w:space="0" w:color="auto"/>
            </w:tcBorders>
          </w:tcPr>
          <w:p w14:paraId="467B9CE6" w14:textId="77777777" w:rsidR="001A679E" w:rsidRPr="005C7058" w:rsidRDefault="001A679E" w:rsidP="007924CA">
            <w:pPr>
              <w:spacing w:before="60" w:after="60"/>
              <w:jc w:val="center"/>
            </w:pPr>
            <w:r w:rsidRPr="005C7058">
              <w:t>3.35</w:t>
            </w:r>
          </w:p>
        </w:tc>
        <w:tc>
          <w:tcPr>
            <w:tcW w:w="1134" w:type="dxa"/>
            <w:tcBorders>
              <w:top w:val="single" w:sz="4" w:space="0" w:color="auto"/>
            </w:tcBorders>
          </w:tcPr>
          <w:p w14:paraId="0F3EFC46" w14:textId="77777777" w:rsidR="001A679E" w:rsidRPr="005C7058" w:rsidRDefault="001A679E" w:rsidP="007924CA">
            <w:pPr>
              <w:spacing w:before="60" w:after="60"/>
              <w:jc w:val="center"/>
            </w:pPr>
            <w:r>
              <w:t>18</w:t>
            </w:r>
          </w:p>
        </w:tc>
        <w:tc>
          <w:tcPr>
            <w:tcW w:w="1134" w:type="dxa"/>
            <w:tcBorders>
              <w:top w:val="single" w:sz="4" w:space="0" w:color="auto"/>
            </w:tcBorders>
          </w:tcPr>
          <w:p w14:paraId="7E60BF4D" w14:textId="77777777" w:rsidR="001A679E" w:rsidRPr="005C7058" w:rsidRDefault="001A679E" w:rsidP="007924CA">
            <w:pPr>
              <w:spacing w:before="60" w:after="60"/>
              <w:jc w:val="center"/>
            </w:pPr>
            <w:r w:rsidRPr="005C7058">
              <w:t>9</w:t>
            </w:r>
          </w:p>
        </w:tc>
        <w:tc>
          <w:tcPr>
            <w:tcW w:w="1134" w:type="dxa"/>
            <w:tcBorders>
              <w:top w:val="single" w:sz="4" w:space="0" w:color="auto"/>
            </w:tcBorders>
          </w:tcPr>
          <w:p w14:paraId="6097DDD0" w14:textId="77777777" w:rsidR="001A679E" w:rsidRPr="005C7058" w:rsidRDefault="001A679E" w:rsidP="007924CA">
            <w:pPr>
              <w:spacing w:before="60" w:after="60"/>
              <w:jc w:val="center"/>
            </w:pPr>
            <w:r>
              <w:t>6</w:t>
            </w:r>
          </w:p>
        </w:tc>
      </w:tr>
      <w:tr w:rsidR="001A679E" w:rsidRPr="005C7058" w14:paraId="588A0BDC" w14:textId="77777777" w:rsidTr="007924CA">
        <w:trPr>
          <w:jc w:val="center"/>
        </w:trPr>
        <w:tc>
          <w:tcPr>
            <w:tcW w:w="1355" w:type="dxa"/>
          </w:tcPr>
          <w:p w14:paraId="5E68329E" w14:textId="77777777" w:rsidR="001A679E" w:rsidRPr="005C7058" w:rsidRDefault="001A679E" w:rsidP="007924CA">
            <w:pPr>
              <w:spacing w:before="60" w:after="60"/>
            </w:pPr>
            <w:r w:rsidRPr="005C7058">
              <w:t>Raspberries</w:t>
            </w:r>
          </w:p>
        </w:tc>
        <w:tc>
          <w:tcPr>
            <w:tcW w:w="1134" w:type="dxa"/>
          </w:tcPr>
          <w:p w14:paraId="5E6ACBE9" w14:textId="77777777" w:rsidR="001A679E" w:rsidRPr="005C7058" w:rsidRDefault="001A679E" w:rsidP="007924CA">
            <w:pPr>
              <w:spacing w:before="60" w:after="60"/>
              <w:jc w:val="center"/>
            </w:pPr>
            <w:r w:rsidRPr="005C7058">
              <w:t>3.05</w:t>
            </w:r>
          </w:p>
        </w:tc>
        <w:tc>
          <w:tcPr>
            <w:tcW w:w="1134" w:type="dxa"/>
          </w:tcPr>
          <w:p w14:paraId="421D94CB" w14:textId="77777777" w:rsidR="001A679E" w:rsidRPr="005C7058" w:rsidRDefault="001A679E" w:rsidP="007924CA">
            <w:pPr>
              <w:spacing w:before="60" w:after="60"/>
              <w:jc w:val="center"/>
            </w:pPr>
            <w:r>
              <w:t>9</w:t>
            </w:r>
          </w:p>
        </w:tc>
        <w:tc>
          <w:tcPr>
            <w:tcW w:w="1134" w:type="dxa"/>
          </w:tcPr>
          <w:p w14:paraId="03E1FFD9" w14:textId="77777777" w:rsidR="001A679E" w:rsidRPr="005C7058" w:rsidRDefault="001A679E" w:rsidP="007924CA">
            <w:pPr>
              <w:spacing w:before="60" w:after="60"/>
              <w:jc w:val="center"/>
            </w:pPr>
            <w:r>
              <w:t>6</w:t>
            </w:r>
          </w:p>
        </w:tc>
        <w:tc>
          <w:tcPr>
            <w:tcW w:w="1134" w:type="dxa"/>
          </w:tcPr>
          <w:p w14:paraId="1020E1FB" w14:textId="77777777" w:rsidR="001A679E" w:rsidRPr="005C7058" w:rsidRDefault="001A679E" w:rsidP="007924CA">
            <w:pPr>
              <w:spacing w:before="60" w:after="60"/>
              <w:jc w:val="center"/>
            </w:pPr>
            <w:r>
              <w:t>4</w:t>
            </w:r>
          </w:p>
        </w:tc>
      </w:tr>
      <w:tr w:rsidR="001A679E" w:rsidRPr="005C7058" w14:paraId="3742AA0B" w14:textId="77777777" w:rsidTr="007924CA">
        <w:trPr>
          <w:jc w:val="center"/>
        </w:trPr>
        <w:tc>
          <w:tcPr>
            <w:tcW w:w="1355" w:type="dxa"/>
            <w:tcBorders>
              <w:bottom w:val="single" w:sz="4" w:space="0" w:color="auto"/>
            </w:tcBorders>
          </w:tcPr>
          <w:p w14:paraId="42F5E12C" w14:textId="77777777" w:rsidR="001A679E" w:rsidRPr="005C7058" w:rsidRDefault="001A679E" w:rsidP="007924CA">
            <w:pPr>
              <w:spacing w:before="60" w:after="60"/>
            </w:pPr>
            <w:r w:rsidRPr="005C7058">
              <w:t>Bilberries</w:t>
            </w:r>
          </w:p>
        </w:tc>
        <w:tc>
          <w:tcPr>
            <w:tcW w:w="1134" w:type="dxa"/>
            <w:tcBorders>
              <w:bottom w:val="single" w:sz="4" w:space="0" w:color="auto"/>
            </w:tcBorders>
          </w:tcPr>
          <w:p w14:paraId="6DCC1E30" w14:textId="77777777" w:rsidR="001A679E" w:rsidRPr="005C7058" w:rsidRDefault="001A679E" w:rsidP="007924CA">
            <w:pPr>
              <w:spacing w:before="60" w:after="60"/>
              <w:jc w:val="center"/>
            </w:pPr>
            <w:r w:rsidRPr="005C7058">
              <w:t>2.87</w:t>
            </w:r>
          </w:p>
        </w:tc>
        <w:tc>
          <w:tcPr>
            <w:tcW w:w="1134" w:type="dxa"/>
            <w:tcBorders>
              <w:bottom w:val="single" w:sz="4" w:space="0" w:color="auto"/>
            </w:tcBorders>
          </w:tcPr>
          <w:p w14:paraId="4AAF0309" w14:textId="77777777" w:rsidR="001A679E" w:rsidRPr="005C7058" w:rsidRDefault="001A679E" w:rsidP="007924CA">
            <w:pPr>
              <w:spacing w:before="60" w:after="60"/>
              <w:jc w:val="center"/>
            </w:pPr>
            <w:r w:rsidRPr="005C7058">
              <w:t>12</w:t>
            </w:r>
          </w:p>
        </w:tc>
        <w:tc>
          <w:tcPr>
            <w:tcW w:w="1134" w:type="dxa"/>
            <w:tcBorders>
              <w:bottom w:val="single" w:sz="4" w:space="0" w:color="auto"/>
            </w:tcBorders>
          </w:tcPr>
          <w:p w14:paraId="371443D1" w14:textId="77777777" w:rsidR="001A679E" w:rsidRPr="005C7058" w:rsidRDefault="001A679E" w:rsidP="007924CA">
            <w:pPr>
              <w:spacing w:before="60" w:after="60"/>
              <w:jc w:val="center"/>
            </w:pPr>
            <w:r>
              <w:t>7</w:t>
            </w:r>
          </w:p>
        </w:tc>
        <w:tc>
          <w:tcPr>
            <w:tcW w:w="1134" w:type="dxa"/>
            <w:tcBorders>
              <w:bottom w:val="single" w:sz="4" w:space="0" w:color="auto"/>
            </w:tcBorders>
          </w:tcPr>
          <w:p w14:paraId="1F7A70B6" w14:textId="77777777" w:rsidR="001A679E" w:rsidRPr="005C7058" w:rsidRDefault="001A679E" w:rsidP="007924CA">
            <w:pPr>
              <w:spacing w:before="60" w:after="60"/>
              <w:jc w:val="center"/>
            </w:pPr>
            <w:r>
              <w:t>5</w:t>
            </w:r>
          </w:p>
        </w:tc>
      </w:tr>
    </w:tbl>
    <w:p w14:paraId="13823D1E" w14:textId="77777777" w:rsidR="001A679E" w:rsidRDefault="001A679E" w:rsidP="001A679E"/>
    <w:p w14:paraId="066F6891" w14:textId="77777777" w:rsidR="001A679E" w:rsidRDefault="001A679E" w:rsidP="001A679E"/>
    <w:p w14:paraId="7B0B2CC8" w14:textId="77777777" w:rsidR="001A679E" w:rsidRDefault="001A679E" w:rsidP="001A679E">
      <w:r w:rsidRPr="00C7133A">
        <w:t>As these calculations are based on</w:t>
      </w:r>
      <w:r w:rsidR="00920546" w:rsidRPr="00C7133A">
        <w:t xml:space="preserve"> a mathematical model specific to this particular temperature range validated with</w:t>
      </w:r>
      <w:r w:rsidRPr="00C7133A">
        <w:t xml:space="preserve"> a limited number of experimental </w:t>
      </w:r>
      <w:r w:rsidR="00920546" w:rsidRPr="00C7133A">
        <w:t>data</w:t>
      </w:r>
      <w:r w:rsidRPr="00C7133A">
        <w:t>, it is not possible to predict the thermal inactivation of hepatitis A virus in berries for temperatures outside the limits of this table.</w:t>
      </w:r>
    </w:p>
    <w:p w14:paraId="76C1F801" w14:textId="77777777" w:rsidR="001A679E" w:rsidRDefault="001A679E" w:rsidP="001A679E">
      <w:pPr>
        <w:jc w:val="center"/>
      </w:pPr>
    </w:p>
    <w:p w14:paraId="0A54283E" w14:textId="77777777" w:rsidR="001A679E" w:rsidRDefault="001A679E" w:rsidP="001A679E">
      <w:r w:rsidRPr="00C7133A">
        <w:t>It is recommended for other fruits not included in this table that the manufacturers measure the pH of their fruits</w:t>
      </w:r>
      <w:r w:rsidR="00920546" w:rsidRPr="00C7133A">
        <w:t xml:space="preserve">, take into account other factors such as the natural sugar content, </w:t>
      </w:r>
      <w:r w:rsidRPr="00C7133A">
        <w:t>and apply the guidelines corresponding to the closest characteristics.</w:t>
      </w:r>
    </w:p>
    <w:p w14:paraId="599878F6" w14:textId="77777777" w:rsidR="00C6159E" w:rsidRDefault="00C6159E" w:rsidP="001A679E"/>
    <w:p w14:paraId="4965562D" w14:textId="77777777" w:rsidR="001A679E" w:rsidRPr="00C56863" w:rsidRDefault="001A679E" w:rsidP="00C6159E">
      <w:pPr>
        <w:pStyle w:val="Heading2"/>
      </w:pPr>
      <w:bookmarkStart w:id="6" w:name="_Toc438202933"/>
      <w:r w:rsidRPr="001A679E">
        <w:t>Guidelines for processed fruits</w:t>
      </w:r>
      <w:bookmarkEnd w:id="6"/>
    </w:p>
    <w:p w14:paraId="4FA7C9E6" w14:textId="77777777" w:rsidR="001A679E" w:rsidRDefault="001A679E" w:rsidP="001A679E"/>
    <w:p w14:paraId="72F95651" w14:textId="77777777" w:rsidR="001A679E" w:rsidRDefault="001A679E" w:rsidP="001A679E">
      <w:r>
        <w:t>The effect of added sucrose (sugar) and pH on D</w:t>
      </w:r>
      <w:r w:rsidRPr="005F3930">
        <w:rPr>
          <w:vertAlign w:val="subscript"/>
        </w:rPr>
        <w:t>85</w:t>
      </w:r>
      <w:r>
        <w:rPr>
          <w:vertAlign w:val="subscript"/>
        </w:rPr>
        <w:t>°C</w:t>
      </w:r>
      <w:r>
        <w:t xml:space="preserve"> values for inactivation of hepatitis A virus in strawberry mashes is described in Table 2 (</w:t>
      </w:r>
      <w:proofErr w:type="spellStart"/>
      <w:r>
        <w:t>Deboosere</w:t>
      </w:r>
      <w:proofErr w:type="spellEnd"/>
      <w:r>
        <w:t xml:space="preserve"> </w:t>
      </w:r>
      <w:r w:rsidRPr="005F3930">
        <w:rPr>
          <w:i/>
        </w:rPr>
        <w:t>et al</w:t>
      </w:r>
      <w:r>
        <w:t xml:space="preserve"> 2004).  </w:t>
      </w:r>
    </w:p>
    <w:p w14:paraId="6271527E" w14:textId="77777777" w:rsidR="001A679E" w:rsidRDefault="001A679E" w:rsidP="001A679E"/>
    <w:p w14:paraId="3076895C" w14:textId="77777777" w:rsidR="008B7F41" w:rsidRDefault="008B7F41" w:rsidP="008B7F41">
      <w:r>
        <w:t>Products with added sugar at less than 28°Brix would achieve a greater level of hepatitis A virus inactivation at 85°C than that indicated in Table 2.</w:t>
      </w:r>
    </w:p>
    <w:p w14:paraId="4E80633D" w14:textId="77777777" w:rsidR="008B7F41" w:rsidRDefault="008B7F41" w:rsidP="008B7F41"/>
    <w:p w14:paraId="2E6C0CAE" w14:textId="77777777" w:rsidR="008B7F41" w:rsidRDefault="008B7F41" w:rsidP="008B7F41">
      <w:proofErr w:type="spellStart"/>
      <w:r>
        <w:t>Deboosere</w:t>
      </w:r>
      <w:proofErr w:type="spellEnd"/>
      <w:r>
        <w:t xml:space="preserve"> </w:t>
      </w:r>
      <w:r w:rsidRPr="006A1823">
        <w:rPr>
          <w:i/>
        </w:rPr>
        <w:t>et al</w:t>
      </w:r>
      <w:r>
        <w:t xml:space="preserve"> (2004) then described D-values observed in fruit mashes at different temperatures and concentrations of added sugar (Table 3).</w:t>
      </w:r>
    </w:p>
    <w:p w14:paraId="022F29CF" w14:textId="77777777" w:rsidR="008B7F41" w:rsidRDefault="008B7F41" w:rsidP="008B7F41">
      <w:pPr>
        <w:ind w:left="851" w:hanging="851"/>
      </w:pPr>
    </w:p>
    <w:p w14:paraId="66639F52" w14:textId="77777777" w:rsidR="008B7F41" w:rsidRDefault="008B7F41" w:rsidP="008B7F41">
      <w:r w:rsidRPr="00C7133A">
        <w:t>Again, manufacturers should apply the guidelines corresponding to the closest characteristics of their products and ensure that products are heated to the selected temperature (at the slowest heating point) and held for the corresponding time.</w:t>
      </w:r>
    </w:p>
    <w:p w14:paraId="16E404AE" w14:textId="77777777" w:rsidR="001A679E" w:rsidRDefault="001A679E" w:rsidP="001A679E">
      <w:pPr>
        <w:ind w:left="851" w:hanging="851"/>
      </w:pPr>
    </w:p>
    <w:p w14:paraId="4494434E" w14:textId="77777777" w:rsidR="001A679E" w:rsidRDefault="001A679E" w:rsidP="001A679E">
      <w:pPr>
        <w:ind w:left="851" w:hanging="851"/>
      </w:pPr>
      <w:r w:rsidRPr="00967E18">
        <w:lastRenderedPageBreak/>
        <w:t>Table</w:t>
      </w:r>
      <w:r>
        <w:t xml:space="preserve"> </w:t>
      </w:r>
      <w:r w:rsidRPr="00B44677">
        <w:t>2</w:t>
      </w:r>
      <w:r w:rsidRPr="00967E18">
        <w:tab/>
      </w:r>
      <w:proofErr w:type="gramStart"/>
      <w:r>
        <w:t>Calculated time</w:t>
      </w:r>
      <w:proofErr w:type="gramEnd"/>
      <w:r>
        <w:t xml:space="preserve"> required for 4, 5 and 6-log reductions of hepatitis A virus at 85°C in</w:t>
      </w:r>
      <w:r w:rsidR="001535E7">
        <w:t xml:space="preserve"> </w:t>
      </w:r>
      <w:r w:rsidR="001535E7" w:rsidRPr="00C7133A">
        <w:t>strawberry mashes</w:t>
      </w:r>
      <w:r>
        <w:t xml:space="preserve"> at different levels of sugar and </w:t>
      </w:r>
      <w:proofErr w:type="spellStart"/>
      <w:r>
        <w:t>pH.</w:t>
      </w:r>
      <w:proofErr w:type="spellEnd"/>
    </w:p>
    <w:p w14:paraId="06E6D4BE" w14:textId="77777777" w:rsidR="001A679E" w:rsidRDefault="001A679E" w:rsidP="001A679E">
      <w:pPr>
        <w:ind w:left="851" w:hanging="851"/>
      </w:pPr>
    </w:p>
    <w:tbl>
      <w:tblPr>
        <w:tblW w:w="9214" w:type="dxa"/>
        <w:jc w:val="center"/>
        <w:tblCellMar>
          <w:left w:w="0" w:type="dxa"/>
          <w:right w:w="0" w:type="dxa"/>
        </w:tblCellMar>
        <w:tblLook w:val="04A0" w:firstRow="1" w:lastRow="0" w:firstColumn="1" w:lastColumn="0" w:noHBand="0" w:noVBand="1"/>
      </w:tblPr>
      <w:tblGrid>
        <w:gridCol w:w="1808"/>
        <w:gridCol w:w="815"/>
        <w:gridCol w:w="1462"/>
        <w:gridCol w:w="1679"/>
        <w:gridCol w:w="1701"/>
        <w:gridCol w:w="1749"/>
      </w:tblGrid>
      <w:tr w:rsidR="001A679E" w:rsidRPr="00A75D65" w14:paraId="7B1AC230" w14:textId="77777777" w:rsidTr="007924CA">
        <w:trPr>
          <w:jc w:val="center"/>
        </w:trPr>
        <w:tc>
          <w:tcPr>
            <w:tcW w:w="1808" w:type="dxa"/>
            <w:tcBorders>
              <w:top w:val="single" w:sz="8" w:space="0" w:color="auto"/>
              <w:left w:val="nil"/>
              <w:bottom w:val="single" w:sz="8" w:space="0" w:color="auto"/>
              <w:right w:val="nil"/>
            </w:tcBorders>
            <w:tcMar>
              <w:top w:w="0" w:type="dxa"/>
              <w:left w:w="108" w:type="dxa"/>
              <w:bottom w:w="0" w:type="dxa"/>
              <w:right w:w="108" w:type="dxa"/>
            </w:tcMar>
            <w:hideMark/>
          </w:tcPr>
          <w:p w14:paraId="607C227C"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Sucrose concentration</w:t>
            </w:r>
          </w:p>
          <w:p w14:paraId="1543E85C"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(°Brix)</w:t>
            </w:r>
          </w:p>
        </w:tc>
        <w:tc>
          <w:tcPr>
            <w:tcW w:w="815" w:type="dxa"/>
            <w:tcBorders>
              <w:top w:val="single" w:sz="8" w:space="0" w:color="auto"/>
              <w:left w:val="nil"/>
              <w:bottom w:val="single" w:sz="8" w:space="0" w:color="auto"/>
              <w:right w:val="nil"/>
            </w:tcBorders>
            <w:tcMar>
              <w:top w:w="0" w:type="dxa"/>
              <w:left w:w="108" w:type="dxa"/>
              <w:bottom w:w="0" w:type="dxa"/>
              <w:right w:w="108" w:type="dxa"/>
            </w:tcMar>
            <w:hideMark/>
          </w:tcPr>
          <w:p w14:paraId="6935C7D1"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pH</w:t>
            </w:r>
          </w:p>
        </w:tc>
        <w:tc>
          <w:tcPr>
            <w:tcW w:w="1462" w:type="dxa"/>
            <w:tcBorders>
              <w:top w:val="single" w:sz="8" w:space="0" w:color="auto"/>
              <w:left w:val="nil"/>
              <w:bottom w:val="single" w:sz="8" w:space="0" w:color="auto"/>
              <w:right w:val="nil"/>
            </w:tcBorders>
            <w:tcMar>
              <w:top w:w="0" w:type="dxa"/>
              <w:left w:w="108" w:type="dxa"/>
              <w:bottom w:w="0" w:type="dxa"/>
              <w:right w:w="108" w:type="dxa"/>
            </w:tcMar>
            <w:hideMark/>
          </w:tcPr>
          <w:p w14:paraId="4F3F982F" w14:textId="77777777" w:rsidR="001A679E" w:rsidRPr="00C7133A" w:rsidRDefault="001A679E" w:rsidP="00164388">
            <w:pPr>
              <w:spacing w:before="60" w:after="60"/>
              <w:jc w:val="center"/>
              <w:rPr>
                <w:rFonts w:ascii="Calibri" w:hAnsi="Calibri"/>
                <w:color w:val="000000"/>
              </w:rPr>
            </w:pPr>
            <w:r w:rsidRPr="00C7133A">
              <w:rPr>
                <w:rFonts w:ascii="Calibri" w:hAnsi="Calibri"/>
                <w:color w:val="000000"/>
              </w:rPr>
              <w:t>D</w:t>
            </w:r>
            <w:r w:rsidRPr="00C7133A">
              <w:rPr>
                <w:rFonts w:ascii="Calibri" w:hAnsi="Calibri"/>
                <w:color w:val="000000"/>
                <w:vertAlign w:val="subscript"/>
              </w:rPr>
              <w:t>85</w:t>
            </w:r>
            <w:r w:rsidR="00164388">
              <w:rPr>
                <w:rFonts w:ascii="Calibri" w:hAnsi="Calibri"/>
                <w:color w:val="000000"/>
                <w:vertAlign w:val="subscript"/>
              </w:rPr>
              <w:t>°</w:t>
            </w:r>
            <w:r w:rsidRPr="00C7133A">
              <w:rPr>
                <w:rFonts w:ascii="Calibri" w:hAnsi="Calibri"/>
                <w:color w:val="000000"/>
                <w:vertAlign w:val="subscript"/>
              </w:rPr>
              <w:t>C</w:t>
            </w:r>
            <w:r w:rsidRPr="00C7133A">
              <w:rPr>
                <w:rFonts w:ascii="Calibri" w:hAnsi="Calibri"/>
                <w:color w:val="000000"/>
              </w:rPr>
              <w:t xml:space="preserve"> (minutes)</w:t>
            </w:r>
          </w:p>
        </w:tc>
        <w:tc>
          <w:tcPr>
            <w:tcW w:w="1679" w:type="dxa"/>
            <w:tcBorders>
              <w:top w:val="single" w:sz="8" w:space="0" w:color="auto"/>
              <w:left w:val="nil"/>
              <w:bottom w:val="single" w:sz="8" w:space="0" w:color="auto"/>
              <w:right w:val="nil"/>
            </w:tcBorders>
          </w:tcPr>
          <w:p w14:paraId="55BE1532"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Time required for 4-log reduction</w:t>
            </w:r>
          </w:p>
          <w:p w14:paraId="783FFBFF" w14:textId="77777777" w:rsidR="001A679E" w:rsidRPr="00C7133A" w:rsidDel="00A400CE" w:rsidRDefault="001A679E" w:rsidP="007924CA">
            <w:pPr>
              <w:spacing w:before="60" w:after="60"/>
              <w:jc w:val="center"/>
              <w:rPr>
                <w:rFonts w:ascii="Calibri" w:hAnsi="Calibri"/>
                <w:color w:val="000000"/>
              </w:rPr>
            </w:pPr>
            <w:r w:rsidRPr="00C7133A">
              <w:rPr>
                <w:rFonts w:ascii="Calibri" w:hAnsi="Calibri"/>
                <w:color w:val="000000"/>
              </w:rPr>
              <w:t>(minutes)</w:t>
            </w:r>
          </w:p>
        </w:tc>
        <w:tc>
          <w:tcPr>
            <w:tcW w:w="1701" w:type="dxa"/>
            <w:tcBorders>
              <w:top w:val="single" w:sz="8" w:space="0" w:color="auto"/>
              <w:left w:val="nil"/>
              <w:bottom w:val="single" w:sz="8" w:space="0" w:color="auto"/>
              <w:right w:val="nil"/>
            </w:tcBorders>
          </w:tcPr>
          <w:p w14:paraId="49B367DD"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Time required for 5-log reduction</w:t>
            </w:r>
          </w:p>
          <w:p w14:paraId="02A4574A" w14:textId="77777777" w:rsidR="001A679E" w:rsidRPr="00C7133A" w:rsidDel="00A400CE" w:rsidRDefault="001A679E" w:rsidP="007924CA">
            <w:pPr>
              <w:spacing w:before="60" w:after="60"/>
              <w:jc w:val="center"/>
              <w:rPr>
                <w:rFonts w:ascii="Calibri" w:hAnsi="Calibri"/>
                <w:color w:val="000000"/>
              </w:rPr>
            </w:pPr>
            <w:r w:rsidRPr="00C7133A">
              <w:rPr>
                <w:rFonts w:ascii="Calibri" w:hAnsi="Calibri"/>
                <w:color w:val="000000"/>
              </w:rPr>
              <w:t>(minutes)</w:t>
            </w:r>
          </w:p>
        </w:tc>
        <w:tc>
          <w:tcPr>
            <w:tcW w:w="1749" w:type="dxa"/>
            <w:tcBorders>
              <w:top w:val="single" w:sz="8" w:space="0" w:color="auto"/>
              <w:left w:val="nil"/>
              <w:bottom w:val="single" w:sz="8" w:space="0" w:color="auto"/>
              <w:right w:val="nil"/>
            </w:tcBorders>
          </w:tcPr>
          <w:p w14:paraId="75B568BA"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Time required for 6-log reduction</w:t>
            </w:r>
          </w:p>
          <w:p w14:paraId="4B7FA647"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(minutes)</w:t>
            </w:r>
          </w:p>
        </w:tc>
      </w:tr>
      <w:tr w:rsidR="001A679E" w:rsidRPr="00A75D65" w14:paraId="77892D45" w14:textId="77777777" w:rsidTr="007924CA">
        <w:trPr>
          <w:jc w:val="center"/>
        </w:trPr>
        <w:tc>
          <w:tcPr>
            <w:tcW w:w="1808" w:type="dxa"/>
            <w:tcBorders>
              <w:top w:val="single" w:sz="4" w:space="0" w:color="auto"/>
            </w:tcBorders>
            <w:tcMar>
              <w:top w:w="0" w:type="dxa"/>
              <w:left w:w="108" w:type="dxa"/>
              <w:bottom w:w="0" w:type="dxa"/>
              <w:right w:w="108" w:type="dxa"/>
            </w:tcMar>
            <w:hideMark/>
          </w:tcPr>
          <w:p w14:paraId="4C98A7D1"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28</w:t>
            </w:r>
          </w:p>
        </w:tc>
        <w:tc>
          <w:tcPr>
            <w:tcW w:w="815" w:type="dxa"/>
            <w:tcBorders>
              <w:top w:val="single" w:sz="4" w:space="0" w:color="auto"/>
            </w:tcBorders>
            <w:tcMar>
              <w:top w:w="0" w:type="dxa"/>
              <w:left w:w="108" w:type="dxa"/>
              <w:bottom w:w="0" w:type="dxa"/>
              <w:right w:w="108" w:type="dxa"/>
            </w:tcMar>
            <w:hideMark/>
          </w:tcPr>
          <w:p w14:paraId="176AEAD9"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3.8</w:t>
            </w:r>
          </w:p>
        </w:tc>
        <w:tc>
          <w:tcPr>
            <w:tcW w:w="1462" w:type="dxa"/>
            <w:tcBorders>
              <w:top w:val="single" w:sz="4" w:space="0" w:color="auto"/>
            </w:tcBorders>
            <w:tcMar>
              <w:top w:w="0" w:type="dxa"/>
              <w:left w:w="108" w:type="dxa"/>
              <w:bottom w:w="0" w:type="dxa"/>
              <w:right w:w="108" w:type="dxa"/>
            </w:tcMar>
            <w:hideMark/>
          </w:tcPr>
          <w:p w14:paraId="7BC04C36"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0.96</w:t>
            </w:r>
          </w:p>
        </w:tc>
        <w:tc>
          <w:tcPr>
            <w:tcW w:w="1679" w:type="dxa"/>
            <w:tcBorders>
              <w:top w:val="single" w:sz="4" w:space="0" w:color="auto"/>
            </w:tcBorders>
            <w:vAlign w:val="bottom"/>
          </w:tcPr>
          <w:p w14:paraId="1B38BB77"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4</w:t>
            </w:r>
          </w:p>
        </w:tc>
        <w:tc>
          <w:tcPr>
            <w:tcW w:w="1701" w:type="dxa"/>
            <w:tcBorders>
              <w:top w:val="single" w:sz="4" w:space="0" w:color="auto"/>
            </w:tcBorders>
            <w:vAlign w:val="bottom"/>
          </w:tcPr>
          <w:p w14:paraId="6A7C83D8"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5</w:t>
            </w:r>
          </w:p>
        </w:tc>
        <w:tc>
          <w:tcPr>
            <w:tcW w:w="1749" w:type="dxa"/>
            <w:tcBorders>
              <w:top w:val="single" w:sz="4" w:space="0" w:color="auto"/>
            </w:tcBorders>
          </w:tcPr>
          <w:p w14:paraId="45DAD77A"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6</w:t>
            </w:r>
          </w:p>
        </w:tc>
      </w:tr>
      <w:tr w:rsidR="001A679E" w:rsidRPr="00A75D65" w14:paraId="6CDD0EF6" w14:textId="77777777" w:rsidTr="007924CA">
        <w:trPr>
          <w:jc w:val="center"/>
        </w:trPr>
        <w:tc>
          <w:tcPr>
            <w:tcW w:w="1808" w:type="dxa"/>
            <w:tcMar>
              <w:top w:w="0" w:type="dxa"/>
              <w:left w:w="108" w:type="dxa"/>
              <w:bottom w:w="0" w:type="dxa"/>
              <w:right w:w="108" w:type="dxa"/>
            </w:tcMar>
            <w:hideMark/>
          </w:tcPr>
          <w:p w14:paraId="649ABAFB"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40</w:t>
            </w:r>
          </w:p>
        </w:tc>
        <w:tc>
          <w:tcPr>
            <w:tcW w:w="815" w:type="dxa"/>
            <w:tcMar>
              <w:top w:w="0" w:type="dxa"/>
              <w:left w:w="108" w:type="dxa"/>
              <w:bottom w:w="0" w:type="dxa"/>
              <w:right w:w="108" w:type="dxa"/>
            </w:tcMar>
            <w:hideMark/>
          </w:tcPr>
          <w:p w14:paraId="1F04263F"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3.3</w:t>
            </w:r>
          </w:p>
        </w:tc>
        <w:tc>
          <w:tcPr>
            <w:tcW w:w="1462" w:type="dxa"/>
            <w:tcMar>
              <w:top w:w="0" w:type="dxa"/>
              <w:left w:w="108" w:type="dxa"/>
              <w:bottom w:w="0" w:type="dxa"/>
              <w:right w:w="108" w:type="dxa"/>
            </w:tcMar>
            <w:hideMark/>
          </w:tcPr>
          <w:p w14:paraId="7D3C0A69"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1.04</w:t>
            </w:r>
          </w:p>
        </w:tc>
        <w:tc>
          <w:tcPr>
            <w:tcW w:w="1679" w:type="dxa"/>
            <w:vAlign w:val="bottom"/>
          </w:tcPr>
          <w:p w14:paraId="036861F3"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5</w:t>
            </w:r>
          </w:p>
        </w:tc>
        <w:tc>
          <w:tcPr>
            <w:tcW w:w="1701" w:type="dxa"/>
            <w:vAlign w:val="bottom"/>
          </w:tcPr>
          <w:p w14:paraId="568247DF"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6</w:t>
            </w:r>
          </w:p>
        </w:tc>
        <w:tc>
          <w:tcPr>
            <w:tcW w:w="1749" w:type="dxa"/>
          </w:tcPr>
          <w:p w14:paraId="5F0C1060"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7</w:t>
            </w:r>
          </w:p>
        </w:tc>
      </w:tr>
      <w:tr w:rsidR="001A679E" w:rsidRPr="00A75D65" w14:paraId="7F421CAE" w14:textId="77777777" w:rsidTr="007924CA">
        <w:trPr>
          <w:jc w:val="center"/>
        </w:trPr>
        <w:tc>
          <w:tcPr>
            <w:tcW w:w="1808" w:type="dxa"/>
            <w:tcMar>
              <w:top w:w="0" w:type="dxa"/>
              <w:left w:w="108" w:type="dxa"/>
              <w:bottom w:w="0" w:type="dxa"/>
              <w:right w:w="108" w:type="dxa"/>
            </w:tcMar>
            <w:hideMark/>
          </w:tcPr>
          <w:p w14:paraId="7793D645"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40</w:t>
            </w:r>
          </w:p>
        </w:tc>
        <w:tc>
          <w:tcPr>
            <w:tcW w:w="815" w:type="dxa"/>
            <w:tcMar>
              <w:top w:w="0" w:type="dxa"/>
              <w:left w:w="108" w:type="dxa"/>
              <w:bottom w:w="0" w:type="dxa"/>
              <w:right w:w="108" w:type="dxa"/>
            </w:tcMar>
            <w:hideMark/>
          </w:tcPr>
          <w:p w14:paraId="7D900C46"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3.8</w:t>
            </w:r>
          </w:p>
        </w:tc>
        <w:tc>
          <w:tcPr>
            <w:tcW w:w="1462" w:type="dxa"/>
            <w:tcMar>
              <w:top w:w="0" w:type="dxa"/>
              <w:left w:w="108" w:type="dxa"/>
              <w:bottom w:w="0" w:type="dxa"/>
              <w:right w:w="108" w:type="dxa"/>
            </w:tcMar>
            <w:hideMark/>
          </w:tcPr>
          <w:p w14:paraId="1A33D956"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2.37</w:t>
            </w:r>
          </w:p>
        </w:tc>
        <w:tc>
          <w:tcPr>
            <w:tcW w:w="1679" w:type="dxa"/>
            <w:vAlign w:val="bottom"/>
          </w:tcPr>
          <w:p w14:paraId="52256E1D"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10</w:t>
            </w:r>
          </w:p>
        </w:tc>
        <w:tc>
          <w:tcPr>
            <w:tcW w:w="1701" w:type="dxa"/>
            <w:vAlign w:val="bottom"/>
          </w:tcPr>
          <w:p w14:paraId="00FE3F62"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12</w:t>
            </w:r>
          </w:p>
        </w:tc>
        <w:tc>
          <w:tcPr>
            <w:tcW w:w="1749" w:type="dxa"/>
          </w:tcPr>
          <w:p w14:paraId="34D234D8"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15</w:t>
            </w:r>
          </w:p>
        </w:tc>
      </w:tr>
      <w:tr w:rsidR="001A679E" w:rsidRPr="00A75D65" w14:paraId="1FA557C3" w14:textId="77777777" w:rsidTr="007924CA">
        <w:trPr>
          <w:jc w:val="center"/>
        </w:trPr>
        <w:tc>
          <w:tcPr>
            <w:tcW w:w="1808" w:type="dxa"/>
            <w:tcMar>
              <w:top w:w="0" w:type="dxa"/>
              <w:left w:w="108" w:type="dxa"/>
              <w:bottom w:w="0" w:type="dxa"/>
              <w:right w:w="108" w:type="dxa"/>
            </w:tcMar>
            <w:hideMark/>
          </w:tcPr>
          <w:p w14:paraId="26533F3A"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40</w:t>
            </w:r>
          </w:p>
        </w:tc>
        <w:tc>
          <w:tcPr>
            <w:tcW w:w="815" w:type="dxa"/>
            <w:tcMar>
              <w:top w:w="0" w:type="dxa"/>
              <w:left w:w="108" w:type="dxa"/>
              <w:bottom w:w="0" w:type="dxa"/>
              <w:right w:w="108" w:type="dxa"/>
            </w:tcMar>
            <w:hideMark/>
          </w:tcPr>
          <w:p w14:paraId="62AD6777"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4.3</w:t>
            </w:r>
          </w:p>
        </w:tc>
        <w:tc>
          <w:tcPr>
            <w:tcW w:w="1462" w:type="dxa"/>
            <w:tcMar>
              <w:top w:w="0" w:type="dxa"/>
              <w:left w:w="108" w:type="dxa"/>
              <w:bottom w:w="0" w:type="dxa"/>
              <w:right w:w="108" w:type="dxa"/>
            </w:tcMar>
            <w:hideMark/>
          </w:tcPr>
          <w:p w14:paraId="31672071"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2.78</w:t>
            </w:r>
          </w:p>
        </w:tc>
        <w:tc>
          <w:tcPr>
            <w:tcW w:w="1679" w:type="dxa"/>
            <w:vAlign w:val="bottom"/>
          </w:tcPr>
          <w:p w14:paraId="5C544B38"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12</w:t>
            </w:r>
          </w:p>
        </w:tc>
        <w:tc>
          <w:tcPr>
            <w:tcW w:w="1701" w:type="dxa"/>
            <w:vAlign w:val="bottom"/>
          </w:tcPr>
          <w:p w14:paraId="28D677B7"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14</w:t>
            </w:r>
          </w:p>
        </w:tc>
        <w:tc>
          <w:tcPr>
            <w:tcW w:w="1749" w:type="dxa"/>
          </w:tcPr>
          <w:p w14:paraId="46BB6F30"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17</w:t>
            </w:r>
          </w:p>
        </w:tc>
      </w:tr>
      <w:tr w:rsidR="001A679E" w:rsidRPr="00A75D65" w14:paraId="7AC50DEB" w14:textId="77777777" w:rsidTr="007924CA">
        <w:trPr>
          <w:jc w:val="center"/>
        </w:trPr>
        <w:tc>
          <w:tcPr>
            <w:tcW w:w="1808" w:type="dxa"/>
            <w:tcBorders>
              <w:top w:val="nil"/>
              <w:left w:val="nil"/>
              <w:bottom w:val="single" w:sz="8" w:space="0" w:color="auto"/>
              <w:right w:val="nil"/>
            </w:tcBorders>
            <w:tcMar>
              <w:top w:w="0" w:type="dxa"/>
              <w:left w:w="108" w:type="dxa"/>
              <w:bottom w:w="0" w:type="dxa"/>
              <w:right w:w="108" w:type="dxa"/>
            </w:tcMar>
            <w:hideMark/>
          </w:tcPr>
          <w:p w14:paraId="252486B8"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52</w:t>
            </w:r>
          </w:p>
        </w:tc>
        <w:tc>
          <w:tcPr>
            <w:tcW w:w="815" w:type="dxa"/>
            <w:tcBorders>
              <w:top w:val="nil"/>
              <w:left w:val="nil"/>
              <w:bottom w:val="single" w:sz="8" w:space="0" w:color="auto"/>
              <w:right w:val="nil"/>
            </w:tcBorders>
            <w:tcMar>
              <w:top w:w="0" w:type="dxa"/>
              <w:left w:w="108" w:type="dxa"/>
              <w:bottom w:w="0" w:type="dxa"/>
              <w:right w:w="108" w:type="dxa"/>
            </w:tcMar>
            <w:hideMark/>
          </w:tcPr>
          <w:p w14:paraId="05510123"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3.8</w:t>
            </w:r>
          </w:p>
        </w:tc>
        <w:tc>
          <w:tcPr>
            <w:tcW w:w="1462" w:type="dxa"/>
            <w:tcBorders>
              <w:top w:val="nil"/>
              <w:left w:val="nil"/>
              <w:bottom w:val="single" w:sz="8" w:space="0" w:color="auto"/>
              <w:right w:val="nil"/>
            </w:tcBorders>
            <w:tcMar>
              <w:top w:w="0" w:type="dxa"/>
              <w:left w:w="108" w:type="dxa"/>
              <w:bottom w:w="0" w:type="dxa"/>
              <w:right w:w="108" w:type="dxa"/>
            </w:tcMar>
            <w:hideMark/>
          </w:tcPr>
          <w:p w14:paraId="0FA54959"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4.98</w:t>
            </w:r>
          </w:p>
        </w:tc>
        <w:tc>
          <w:tcPr>
            <w:tcW w:w="1679" w:type="dxa"/>
            <w:tcBorders>
              <w:top w:val="nil"/>
              <w:left w:val="nil"/>
              <w:bottom w:val="single" w:sz="8" w:space="0" w:color="auto"/>
              <w:right w:val="nil"/>
            </w:tcBorders>
            <w:vAlign w:val="bottom"/>
          </w:tcPr>
          <w:p w14:paraId="52FBA68F"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20</w:t>
            </w:r>
          </w:p>
        </w:tc>
        <w:tc>
          <w:tcPr>
            <w:tcW w:w="1701" w:type="dxa"/>
            <w:tcBorders>
              <w:top w:val="nil"/>
              <w:left w:val="nil"/>
              <w:bottom w:val="single" w:sz="8" w:space="0" w:color="auto"/>
              <w:right w:val="nil"/>
            </w:tcBorders>
            <w:vAlign w:val="bottom"/>
          </w:tcPr>
          <w:p w14:paraId="1B31A3E1" w14:textId="77777777" w:rsidR="001A679E" w:rsidRPr="00C7133A" w:rsidDel="00710037" w:rsidRDefault="001A679E" w:rsidP="007924CA">
            <w:pPr>
              <w:spacing w:before="60" w:after="60"/>
              <w:jc w:val="center"/>
              <w:rPr>
                <w:rFonts w:ascii="Calibri" w:hAnsi="Calibri"/>
                <w:color w:val="000000"/>
              </w:rPr>
            </w:pPr>
            <w:r>
              <w:rPr>
                <w:rFonts w:ascii="Calibri" w:hAnsi="Calibri"/>
                <w:color w:val="000000"/>
              </w:rPr>
              <w:t>25</w:t>
            </w:r>
          </w:p>
        </w:tc>
        <w:tc>
          <w:tcPr>
            <w:tcW w:w="1749" w:type="dxa"/>
            <w:tcBorders>
              <w:top w:val="nil"/>
              <w:left w:val="nil"/>
              <w:bottom w:val="single" w:sz="8" w:space="0" w:color="auto"/>
              <w:right w:val="nil"/>
            </w:tcBorders>
          </w:tcPr>
          <w:p w14:paraId="5A689FBD"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30</w:t>
            </w:r>
          </w:p>
        </w:tc>
      </w:tr>
    </w:tbl>
    <w:p w14:paraId="74B3DEAA" w14:textId="77777777" w:rsidR="001A679E" w:rsidRDefault="001A679E" w:rsidP="001A679E">
      <w:pPr>
        <w:rPr>
          <w:rFonts w:ascii="Arial" w:eastAsia="Calibri" w:hAnsi="Arial" w:cs="Arial"/>
        </w:rPr>
      </w:pPr>
    </w:p>
    <w:p w14:paraId="337207FC" w14:textId="77777777" w:rsidR="001A679E" w:rsidRDefault="001A679E" w:rsidP="001A679E">
      <w:pPr>
        <w:rPr>
          <w:rFonts w:ascii="Arial" w:eastAsia="Calibri" w:hAnsi="Arial" w:cs="Arial"/>
        </w:rPr>
      </w:pPr>
    </w:p>
    <w:p w14:paraId="38A91B80" w14:textId="77777777" w:rsidR="00A33BFA" w:rsidRPr="001A679E" w:rsidRDefault="00A33BFA" w:rsidP="00A33BFA">
      <w:pPr>
        <w:autoSpaceDE w:val="0"/>
        <w:autoSpaceDN w:val="0"/>
        <w:adjustRightInd w:val="0"/>
        <w:rPr>
          <w:szCs w:val="24"/>
        </w:rPr>
      </w:pPr>
    </w:p>
    <w:p w14:paraId="4A90C5E1" w14:textId="77777777" w:rsidR="001A679E" w:rsidRDefault="001A679E" w:rsidP="001A679E">
      <w:pPr>
        <w:ind w:left="851" w:hanging="851"/>
      </w:pPr>
      <w:r>
        <w:t xml:space="preserve"> Table 3</w:t>
      </w:r>
      <w:r w:rsidRPr="009F3320">
        <w:t xml:space="preserve"> </w:t>
      </w:r>
      <w:r>
        <w:tab/>
        <w:t>D-values for hepatitis A virus in fruit mashes at different temperatures and concentrations of added sugar</w:t>
      </w:r>
      <w:r w:rsidR="004023F4">
        <w:t>.</w:t>
      </w:r>
    </w:p>
    <w:p w14:paraId="2F043469" w14:textId="77777777" w:rsidR="001A679E" w:rsidRDefault="001A679E" w:rsidP="001A679E">
      <w:pPr>
        <w:ind w:left="851" w:hanging="85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785"/>
        <w:gridCol w:w="1842"/>
        <w:gridCol w:w="1701"/>
        <w:gridCol w:w="1418"/>
      </w:tblGrid>
      <w:tr w:rsidR="001A679E" w:rsidRPr="00915783" w14:paraId="513EDBD4" w14:textId="77777777" w:rsidTr="007924CA">
        <w:trPr>
          <w:jc w:val="center"/>
        </w:trPr>
        <w:tc>
          <w:tcPr>
            <w:tcW w:w="1471" w:type="dxa"/>
            <w:vMerge w:val="restart"/>
            <w:tcBorders>
              <w:top w:val="single" w:sz="4" w:space="0" w:color="auto"/>
              <w:bottom w:val="single" w:sz="4" w:space="0" w:color="auto"/>
            </w:tcBorders>
          </w:tcPr>
          <w:p w14:paraId="4F5B7AA8"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Sucrose concentration (°Brix)</w:t>
            </w:r>
          </w:p>
        </w:tc>
        <w:tc>
          <w:tcPr>
            <w:tcW w:w="5328" w:type="dxa"/>
            <w:gridSpan w:val="3"/>
            <w:tcBorders>
              <w:top w:val="single" w:sz="4" w:space="0" w:color="auto"/>
              <w:bottom w:val="single" w:sz="4" w:space="0" w:color="auto"/>
            </w:tcBorders>
          </w:tcPr>
          <w:p w14:paraId="037D690F"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D value</w:t>
            </w:r>
          </w:p>
          <w:p w14:paraId="7D3418BF"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(95% confidence interval) at different temperatures</w:t>
            </w:r>
          </w:p>
        </w:tc>
        <w:tc>
          <w:tcPr>
            <w:tcW w:w="1418" w:type="dxa"/>
            <w:vMerge w:val="restart"/>
            <w:tcBorders>
              <w:top w:val="single" w:sz="4" w:space="0" w:color="auto"/>
              <w:bottom w:val="single" w:sz="4" w:space="0" w:color="auto"/>
            </w:tcBorders>
            <w:vAlign w:val="center"/>
          </w:tcPr>
          <w:p w14:paraId="52A64F59"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z value (°C)</w:t>
            </w:r>
          </w:p>
        </w:tc>
      </w:tr>
      <w:tr w:rsidR="001A679E" w:rsidRPr="00915783" w14:paraId="2EC1B89C" w14:textId="77777777" w:rsidTr="007924CA">
        <w:trPr>
          <w:jc w:val="center"/>
        </w:trPr>
        <w:tc>
          <w:tcPr>
            <w:tcW w:w="1471" w:type="dxa"/>
            <w:vMerge/>
            <w:tcBorders>
              <w:top w:val="single" w:sz="4" w:space="0" w:color="auto"/>
              <w:bottom w:val="single" w:sz="4" w:space="0" w:color="auto"/>
            </w:tcBorders>
          </w:tcPr>
          <w:p w14:paraId="73842D54" w14:textId="77777777" w:rsidR="001A679E" w:rsidRPr="00C7133A" w:rsidRDefault="001A679E" w:rsidP="007924CA">
            <w:pPr>
              <w:spacing w:before="60" w:after="60"/>
              <w:rPr>
                <w:rFonts w:ascii="Calibri" w:hAnsi="Calibri"/>
                <w:color w:val="000000"/>
              </w:rPr>
            </w:pPr>
          </w:p>
        </w:tc>
        <w:tc>
          <w:tcPr>
            <w:tcW w:w="1785" w:type="dxa"/>
            <w:tcBorders>
              <w:top w:val="single" w:sz="4" w:space="0" w:color="auto"/>
              <w:bottom w:val="single" w:sz="4" w:space="0" w:color="auto"/>
            </w:tcBorders>
          </w:tcPr>
          <w:p w14:paraId="30CBDD23"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80°C</w:t>
            </w:r>
          </w:p>
        </w:tc>
        <w:tc>
          <w:tcPr>
            <w:tcW w:w="1842" w:type="dxa"/>
            <w:tcBorders>
              <w:top w:val="single" w:sz="4" w:space="0" w:color="auto"/>
              <w:bottom w:val="single" w:sz="4" w:space="0" w:color="auto"/>
            </w:tcBorders>
          </w:tcPr>
          <w:p w14:paraId="17EF57AB"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85°C</w:t>
            </w:r>
          </w:p>
        </w:tc>
        <w:tc>
          <w:tcPr>
            <w:tcW w:w="1701" w:type="dxa"/>
            <w:tcBorders>
              <w:top w:val="single" w:sz="4" w:space="0" w:color="auto"/>
              <w:bottom w:val="single" w:sz="4" w:space="0" w:color="auto"/>
            </w:tcBorders>
          </w:tcPr>
          <w:p w14:paraId="5402E754"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90°C</w:t>
            </w:r>
          </w:p>
        </w:tc>
        <w:tc>
          <w:tcPr>
            <w:tcW w:w="1418" w:type="dxa"/>
            <w:vMerge/>
            <w:tcBorders>
              <w:top w:val="single" w:sz="4" w:space="0" w:color="auto"/>
              <w:bottom w:val="single" w:sz="4" w:space="0" w:color="auto"/>
            </w:tcBorders>
          </w:tcPr>
          <w:p w14:paraId="0E7161CD" w14:textId="77777777" w:rsidR="001A679E" w:rsidRPr="00C7133A" w:rsidRDefault="001A679E" w:rsidP="007924CA">
            <w:pPr>
              <w:spacing w:before="60" w:after="60"/>
              <w:jc w:val="center"/>
              <w:rPr>
                <w:rFonts w:ascii="Calibri" w:hAnsi="Calibri"/>
                <w:color w:val="000000"/>
              </w:rPr>
            </w:pPr>
          </w:p>
        </w:tc>
      </w:tr>
      <w:tr w:rsidR="001A679E" w:rsidRPr="00915783" w14:paraId="74E8808B" w14:textId="77777777" w:rsidTr="007924CA">
        <w:trPr>
          <w:jc w:val="center"/>
        </w:trPr>
        <w:tc>
          <w:tcPr>
            <w:tcW w:w="1471" w:type="dxa"/>
            <w:tcBorders>
              <w:top w:val="single" w:sz="4" w:space="0" w:color="auto"/>
            </w:tcBorders>
          </w:tcPr>
          <w:p w14:paraId="58D408EB"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28</w:t>
            </w:r>
          </w:p>
        </w:tc>
        <w:tc>
          <w:tcPr>
            <w:tcW w:w="1785" w:type="dxa"/>
            <w:tcBorders>
              <w:top w:val="single" w:sz="4" w:space="0" w:color="auto"/>
            </w:tcBorders>
          </w:tcPr>
          <w:p w14:paraId="59670DD0"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1.22 </w:t>
            </w:r>
          </w:p>
          <w:p w14:paraId="6189DAB9"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(1.17, 1.27)</w:t>
            </w:r>
          </w:p>
        </w:tc>
        <w:tc>
          <w:tcPr>
            <w:tcW w:w="1842" w:type="dxa"/>
            <w:tcBorders>
              <w:top w:val="single" w:sz="4" w:space="0" w:color="auto"/>
            </w:tcBorders>
          </w:tcPr>
          <w:p w14:paraId="0098D635"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0.96 </w:t>
            </w:r>
          </w:p>
          <w:p w14:paraId="025E716B"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(0.69, 1.56)</w:t>
            </w:r>
          </w:p>
        </w:tc>
        <w:tc>
          <w:tcPr>
            <w:tcW w:w="1701" w:type="dxa"/>
            <w:tcBorders>
              <w:top w:val="single" w:sz="4" w:space="0" w:color="auto"/>
            </w:tcBorders>
          </w:tcPr>
          <w:p w14:paraId="7C31D841"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0.32 </w:t>
            </w:r>
          </w:p>
          <w:p w14:paraId="1F423EC5"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(0.21, 0.68)</w:t>
            </w:r>
          </w:p>
        </w:tc>
        <w:tc>
          <w:tcPr>
            <w:tcW w:w="1418" w:type="dxa"/>
            <w:tcBorders>
              <w:top w:val="single" w:sz="4" w:space="0" w:color="auto"/>
            </w:tcBorders>
          </w:tcPr>
          <w:p w14:paraId="4B6ECE2D"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21.41</w:t>
            </w:r>
          </w:p>
        </w:tc>
      </w:tr>
      <w:tr w:rsidR="001A679E" w:rsidRPr="00915783" w14:paraId="7823D6E1" w14:textId="77777777" w:rsidTr="007924CA">
        <w:trPr>
          <w:jc w:val="center"/>
        </w:trPr>
        <w:tc>
          <w:tcPr>
            <w:tcW w:w="1471" w:type="dxa"/>
            <w:tcBorders>
              <w:bottom w:val="single" w:sz="4" w:space="0" w:color="auto"/>
            </w:tcBorders>
          </w:tcPr>
          <w:p w14:paraId="1698396D"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52</w:t>
            </w:r>
          </w:p>
        </w:tc>
        <w:tc>
          <w:tcPr>
            <w:tcW w:w="1785" w:type="dxa"/>
            <w:tcBorders>
              <w:bottom w:val="single" w:sz="4" w:space="0" w:color="auto"/>
            </w:tcBorders>
          </w:tcPr>
          <w:p w14:paraId="68DFD7D9"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8.94 </w:t>
            </w:r>
          </w:p>
          <w:p w14:paraId="6E688415"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(8.59, 9.32)</w:t>
            </w:r>
          </w:p>
        </w:tc>
        <w:tc>
          <w:tcPr>
            <w:tcW w:w="1842" w:type="dxa"/>
            <w:tcBorders>
              <w:bottom w:val="single" w:sz="4" w:space="0" w:color="auto"/>
            </w:tcBorders>
          </w:tcPr>
          <w:p w14:paraId="3AA01B2E"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4.98 </w:t>
            </w:r>
          </w:p>
          <w:p w14:paraId="2B3F8FCD"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(4.50,  5.58)</w:t>
            </w:r>
          </w:p>
        </w:tc>
        <w:tc>
          <w:tcPr>
            <w:tcW w:w="1701" w:type="dxa"/>
            <w:tcBorders>
              <w:bottom w:val="single" w:sz="4" w:space="0" w:color="auto"/>
            </w:tcBorders>
          </w:tcPr>
          <w:p w14:paraId="407C6804" w14:textId="77777777" w:rsidR="00A33BFA" w:rsidRPr="00C7133A" w:rsidRDefault="001A679E" w:rsidP="007924CA">
            <w:pPr>
              <w:spacing w:before="60" w:after="60"/>
              <w:jc w:val="center"/>
              <w:rPr>
                <w:rFonts w:ascii="Calibri" w:hAnsi="Calibri"/>
                <w:color w:val="000000"/>
              </w:rPr>
            </w:pPr>
            <w:r w:rsidRPr="00C7133A">
              <w:rPr>
                <w:rFonts w:ascii="Calibri" w:hAnsi="Calibri"/>
                <w:color w:val="000000"/>
              </w:rPr>
              <w:t xml:space="preserve">3.00 </w:t>
            </w:r>
          </w:p>
          <w:p w14:paraId="7FAF324C"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(2.65, 3.45)</w:t>
            </w:r>
          </w:p>
        </w:tc>
        <w:tc>
          <w:tcPr>
            <w:tcW w:w="1418" w:type="dxa"/>
            <w:tcBorders>
              <w:bottom w:val="single" w:sz="4" w:space="0" w:color="auto"/>
            </w:tcBorders>
          </w:tcPr>
          <w:p w14:paraId="7F298D6F" w14:textId="77777777" w:rsidR="001A679E" w:rsidRPr="00C7133A" w:rsidRDefault="001A679E" w:rsidP="007924CA">
            <w:pPr>
              <w:spacing w:before="60" w:after="60"/>
              <w:jc w:val="center"/>
              <w:rPr>
                <w:rFonts w:ascii="Calibri" w:hAnsi="Calibri"/>
                <w:color w:val="000000"/>
              </w:rPr>
            </w:pPr>
            <w:r w:rsidRPr="00C7133A">
              <w:rPr>
                <w:rFonts w:ascii="Calibri" w:hAnsi="Calibri"/>
                <w:color w:val="000000"/>
              </w:rPr>
              <w:t>21.10</w:t>
            </w:r>
          </w:p>
        </w:tc>
      </w:tr>
    </w:tbl>
    <w:p w14:paraId="11F763D0" w14:textId="77777777" w:rsidR="001A679E" w:rsidRDefault="001A679E" w:rsidP="001A679E"/>
    <w:p w14:paraId="5ABCCF98" w14:textId="77777777" w:rsidR="008B7F41" w:rsidRDefault="008B7F41" w:rsidP="008B7F41">
      <w:pPr>
        <w:ind w:left="851" w:hanging="851"/>
      </w:pPr>
    </w:p>
    <w:p w14:paraId="1874DA6E" w14:textId="77777777" w:rsidR="008B7F41" w:rsidRPr="001A679E" w:rsidRDefault="008B7F41" w:rsidP="008B7F41">
      <w:pPr>
        <w:pStyle w:val="Heading2"/>
      </w:pPr>
      <w:bookmarkStart w:id="7" w:name="_Toc438202934"/>
      <w:r w:rsidRPr="001A679E">
        <w:t xml:space="preserve">Guidelines for other </w:t>
      </w:r>
      <w:r w:rsidRPr="00C7133A">
        <w:t>thermal</w:t>
      </w:r>
      <w:r>
        <w:t xml:space="preserve"> </w:t>
      </w:r>
      <w:r w:rsidRPr="001A679E">
        <w:t>processes: freeze-drying</w:t>
      </w:r>
      <w:bookmarkEnd w:id="7"/>
      <w:r w:rsidRPr="001A679E">
        <w:t xml:space="preserve"> </w:t>
      </w:r>
    </w:p>
    <w:p w14:paraId="55EC6A21" w14:textId="77777777" w:rsidR="008B7F41" w:rsidRDefault="008B7F41" w:rsidP="008B7F41">
      <w:pPr>
        <w:rPr>
          <w:sz w:val="20"/>
        </w:rPr>
      </w:pPr>
    </w:p>
    <w:p w14:paraId="69B0485B" w14:textId="77777777" w:rsidR="008B7F41" w:rsidRPr="001A679E" w:rsidRDefault="008B7F41" w:rsidP="008B7F41">
      <w:pPr>
        <w:autoSpaceDE w:val="0"/>
        <w:autoSpaceDN w:val="0"/>
        <w:adjustRightInd w:val="0"/>
        <w:rPr>
          <w:szCs w:val="24"/>
        </w:rPr>
      </w:pPr>
      <w:r w:rsidRPr="001A679E">
        <w:rPr>
          <w:szCs w:val="24"/>
        </w:rPr>
        <w:t>Freeze-dried berries are commonly used by the food industry in diverse products (e.g. cereals, muesli bars, chocolate products, bakery goods, ice creams) as the freeze-drying process maintains the organoleptic qualities of the fruits. Freeze-drying usually involves initially freezing the fresh berries, followed by heating the berries under reduced pressure to sublimating the ice.</w:t>
      </w:r>
    </w:p>
    <w:p w14:paraId="2AD4B921" w14:textId="77777777" w:rsidR="001A679E" w:rsidRDefault="001A679E" w:rsidP="001A679E"/>
    <w:p w14:paraId="3DCEFA4F" w14:textId="77777777" w:rsidR="001A679E" w:rsidRPr="001A679E" w:rsidRDefault="001A679E" w:rsidP="001A679E">
      <w:pPr>
        <w:rPr>
          <w:szCs w:val="24"/>
          <w:lang w:eastAsia="en-NZ"/>
        </w:rPr>
      </w:pPr>
      <w:r w:rsidRPr="001A679E">
        <w:rPr>
          <w:szCs w:val="24"/>
        </w:rPr>
        <w:t>Only one study has investigated the effects of freeze-drying on inactivation of hepatitis A virus (</w:t>
      </w:r>
      <w:proofErr w:type="spellStart"/>
      <w:r w:rsidRPr="001A679E">
        <w:rPr>
          <w:szCs w:val="24"/>
        </w:rPr>
        <w:t>Butot</w:t>
      </w:r>
      <w:proofErr w:type="spellEnd"/>
      <w:r w:rsidRPr="001A679E">
        <w:rPr>
          <w:szCs w:val="24"/>
        </w:rPr>
        <w:t xml:space="preserve"> </w:t>
      </w:r>
      <w:r w:rsidRPr="001A679E">
        <w:rPr>
          <w:i/>
          <w:szCs w:val="24"/>
        </w:rPr>
        <w:t>et al</w:t>
      </w:r>
      <w:r w:rsidRPr="001A679E">
        <w:rPr>
          <w:szCs w:val="24"/>
        </w:rPr>
        <w:t xml:space="preserve"> 2009). Using experimentally inoculated fresh berries, freeze-drying at</w:t>
      </w:r>
      <w:r w:rsidR="00597C8F">
        <w:rPr>
          <w:szCs w:val="24"/>
        </w:rPr>
        <w:t xml:space="preserve"> </w:t>
      </w:r>
      <w:r w:rsidRPr="001A679E">
        <w:rPr>
          <w:szCs w:val="24"/>
        </w:rPr>
        <w:t>55°C for 10 hours</w:t>
      </w:r>
      <w:r w:rsidR="001535E7">
        <w:rPr>
          <w:szCs w:val="24"/>
        </w:rPr>
        <w:t xml:space="preserve"> </w:t>
      </w:r>
      <w:r w:rsidR="001535E7" w:rsidRPr="00C7133A">
        <w:rPr>
          <w:szCs w:val="24"/>
        </w:rPr>
        <w:t>in the product</w:t>
      </w:r>
      <w:r w:rsidRPr="001A679E">
        <w:rPr>
          <w:szCs w:val="24"/>
        </w:rPr>
        <w:t xml:space="preserve"> </w:t>
      </w:r>
      <w:r w:rsidRPr="001A679E">
        <w:rPr>
          <w:szCs w:val="24"/>
          <w:lang w:eastAsia="en-NZ"/>
        </w:rPr>
        <w:t>reduced the numbers of hepatitis A virus on most of the products by less than 1 log</w:t>
      </w:r>
      <w:r w:rsidRPr="001A679E">
        <w:rPr>
          <w:szCs w:val="24"/>
          <w:vertAlign w:val="subscript"/>
          <w:lang w:eastAsia="en-NZ"/>
        </w:rPr>
        <w:t>10</w:t>
      </w:r>
      <w:r w:rsidRPr="001A679E">
        <w:rPr>
          <w:szCs w:val="24"/>
          <w:lang w:eastAsia="en-NZ"/>
        </w:rPr>
        <w:t xml:space="preserve"> unit (as determined by real-time RT-PCR). </w:t>
      </w:r>
    </w:p>
    <w:p w14:paraId="486581F0" w14:textId="77777777" w:rsidR="001A679E" w:rsidRPr="001A679E" w:rsidRDefault="001A679E" w:rsidP="001A679E">
      <w:pPr>
        <w:rPr>
          <w:szCs w:val="24"/>
          <w:lang w:eastAsia="en-NZ"/>
        </w:rPr>
      </w:pPr>
    </w:p>
    <w:p w14:paraId="7936BAD6" w14:textId="77777777" w:rsidR="001A679E" w:rsidRPr="001A679E" w:rsidRDefault="001A679E" w:rsidP="001A679E">
      <w:pPr>
        <w:autoSpaceDE w:val="0"/>
        <w:autoSpaceDN w:val="0"/>
        <w:adjustRightInd w:val="0"/>
        <w:rPr>
          <w:szCs w:val="24"/>
        </w:rPr>
      </w:pPr>
      <w:r w:rsidRPr="001A679E">
        <w:rPr>
          <w:szCs w:val="24"/>
          <w:lang w:eastAsia="en-NZ"/>
        </w:rPr>
        <w:t xml:space="preserve">Therefore, in the absence of other available data, it is recommended that manufacturers add a supplementary heating step after the freeze-drying process. For example, </w:t>
      </w:r>
      <w:proofErr w:type="spellStart"/>
      <w:r w:rsidRPr="001A679E">
        <w:rPr>
          <w:szCs w:val="24"/>
          <w:lang w:eastAsia="en-NZ"/>
        </w:rPr>
        <w:t>Butot</w:t>
      </w:r>
      <w:proofErr w:type="spellEnd"/>
      <w:r w:rsidRPr="001A679E">
        <w:rPr>
          <w:szCs w:val="24"/>
          <w:lang w:eastAsia="en-NZ"/>
        </w:rPr>
        <w:t xml:space="preserve"> </w:t>
      </w:r>
      <w:r w:rsidRPr="001A679E">
        <w:rPr>
          <w:i/>
          <w:szCs w:val="24"/>
          <w:lang w:eastAsia="en-NZ"/>
        </w:rPr>
        <w:t>et al</w:t>
      </w:r>
      <w:r w:rsidRPr="001A679E">
        <w:rPr>
          <w:szCs w:val="24"/>
          <w:lang w:eastAsia="en-NZ"/>
        </w:rPr>
        <w:t xml:space="preserve"> (2009) </w:t>
      </w:r>
      <w:r w:rsidR="00CD61C6">
        <w:rPr>
          <w:szCs w:val="24"/>
          <w:lang w:eastAsia="en-NZ"/>
        </w:rPr>
        <w:t>suggests</w:t>
      </w:r>
      <w:r w:rsidRPr="001A679E">
        <w:rPr>
          <w:szCs w:val="24"/>
          <w:lang w:eastAsia="en-NZ"/>
        </w:rPr>
        <w:t xml:space="preserve"> that </w:t>
      </w:r>
      <w:r w:rsidRPr="001A679E">
        <w:rPr>
          <w:szCs w:val="24"/>
        </w:rPr>
        <w:t>heating freeze-dried berries for 20 min at 120°C inactivate</w:t>
      </w:r>
      <w:r w:rsidR="00CD61C6">
        <w:rPr>
          <w:szCs w:val="24"/>
        </w:rPr>
        <w:t>s</w:t>
      </w:r>
      <w:r w:rsidRPr="001A679E">
        <w:rPr>
          <w:szCs w:val="24"/>
        </w:rPr>
        <w:t xml:space="preserve"> infectious </w:t>
      </w:r>
      <w:r w:rsidRPr="001A679E">
        <w:rPr>
          <w:szCs w:val="24"/>
          <w:lang w:eastAsia="en-NZ"/>
        </w:rPr>
        <w:t xml:space="preserve">hepatitis </w:t>
      </w:r>
      <w:proofErr w:type="gramStart"/>
      <w:r w:rsidRPr="001A679E">
        <w:rPr>
          <w:szCs w:val="24"/>
          <w:lang w:eastAsia="en-NZ"/>
        </w:rPr>
        <w:t>A</w:t>
      </w:r>
      <w:proofErr w:type="gramEnd"/>
      <w:r w:rsidRPr="001A679E">
        <w:rPr>
          <w:szCs w:val="24"/>
          <w:lang w:eastAsia="en-NZ"/>
        </w:rPr>
        <w:t xml:space="preserve"> virus</w:t>
      </w:r>
      <w:r w:rsidRPr="001A679E">
        <w:rPr>
          <w:szCs w:val="24"/>
        </w:rPr>
        <w:t>.</w:t>
      </w:r>
    </w:p>
    <w:p w14:paraId="43AA9E1A" w14:textId="77777777" w:rsidR="001A679E" w:rsidRDefault="001A679E" w:rsidP="001A679E">
      <w:pPr>
        <w:autoSpaceDE w:val="0"/>
        <w:autoSpaceDN w:val="0"/>
        <w:adjustRightInd w:val="0"/>
      </w:pPr>
    </w:p>
    <w:p w14:paraId="038016C1" w14:textId="77777777" w:rsidR="001A679E" w:rsidRPr="00B13427" w:rsidRDefault="001A679E" w:rsidP="001A679E">
      <w:pPr>
        <w:rPr>
          <w:b/>
        </w:rPr>
      </w:pPr>
      <w:r w:rsidRPr="001A679E">
        <w:rPr>
          <w:b/>
          <w:u w:val="single"/>
        </w:rPr>
        <w:lastRenderedPageBreak/>
        <w:t>Note:</w:t>
      </w:r>
      <w:r w:rsidRPr="00B13427">
        <w:rPr>
          <w:b/>
        </w:rPr>
        <w:t xml:space="preserve"> The</w:t>
      </w:r>
      <w:r>
        <w:rPr>
          <w:b/>
        </w:rPr>
        <w:t xml:space="preserve"> D-values and temperature/time equivalents described above </w:t>
      </w:r>
      <w:r w:rsidRPr="00B13427">
        <w:rPr>
          <w:b/>
        </w:rPr>
        <w:t>are guidelines only</w:t>
      </w:r>
      <w:r>
        <w:rPr>
          <w:b/>
        </w:rPr>
        <w:t>. M</w:t>
      </w:r>
      <w:r w:rsidRPr="00B13427">
        <w:rPr>
          <w:b/>
        </w:rPr>
        <w:t>anufacturers should conduct a proper risk assessment taking into consideration the</w:t>
      </w:r>
      <w:r>
        <w:rPr>
          <w:b/>
        </w:rPr>
        <w:t xml:space="preserve"> likely types and levels of microbial hazards present in their raw materials,</w:t>
      </w:r>
      <w:r w:rsidRPr="00B13427">
        <w:rPr>
          <w:b/>
        </w:rPr>
        <w:t xml:space="preserve"> characteristics of their own products</w:t>
      </w:r>
      <w:r>
        <w:rPr>
          <w:b/>
        </w:rPr>
        <w:t xml:space="preserve"> in terms of effect on the hazards, </w:t>
      </w:r>
      <w:r w:rsidRPr="00B13427">
        <w:rPr>
          <w:b/>
        </w:rPr>
        <w:t>and the treatment parameters</w:t>
      </w:r>
      <w:r>
        <w:rPr>
          <w:b/>
        </w:rPr>
        <w:t xml:space="preserve"> required to inactivate any hazards that are reasonably likely to occur</w:t>
      </w:r>
      <w:r w:rsidRPr="00B13427">
        <w:rPr>
          <w:b/>
        </w:rPr>
        <w:t>.</w:t>
      </w:r>
    </w:p>
    <w:p w14:paraId="63F58C47" w14:textId="77777777" w:rsidR="001A679E" w:rsidRDefault="001A679E" w:rsidP="001A679E">
      <w:pPr>
        <w:autoSpaceDE w:val="0"/>
        <w:autoSpaceDN w:val="0"/>
        <w:adjustRightInd w:val="0"/>
      </w:pPr>
    </w:p>
    <w:p w14:paraId="5E137966" w14:textId="77777777" w:rsidR="001A679E" w:rsidRDefault="001A679E" w:rsidP="001A679E"/>
    <w:p w14:paraId="2C2536B1" w14:textId="77777777" w:rsidR="001A679E" w:rsidRPr="001A679E" w:rsidRDefault="001A679E" w:rsidP="001A679E">
      <w:pPr>
        <w:pStyle w:val="Heading1"/>
      </w:pPr>
      <w:bookmarkStart w:id="8" w:name="_Toc438202935"/>
      <w:r w:rsidRPr="009F3320">
        <w:t>References</w:t>
      </w:r>
      <w:bookmarkEnd w:id="8"/>
    </w:p>
    <w:p w14:paraId="2AAFE8B6" w14:textId="77777777" w:rsidR="001A679E" w:rsidRDefault="001A679E" w:rsidP="001A679E">
      <w:r>
        <w:t xml:space="preserve"> </w:t>
      </w:r>
    </w:p>
    <w:p w14:paraId="397F61BD" w14:textId="77777777" w:rsidR="00F634D2" w:rsidRDefault="00F634D2" w:rsidP="00F634D2">
      <w:pPr>
        <w:autoSpaceDE w:val="0"/>
        <w:autoSpaceDN w:val="0"/>
        <w:adjustRightInd w:val="0"/>
      </w:pPr>
      <w:proofErr w:type="spellStart"/>
      <w:r w:rsidRPr="00C65C79">
        <w:t>Baert</w:t>
      </w:r>
      <w:proofErr w:type="spellEnd"/>
      <w:r>
        <w:t xml:space="preserve"> L., </w:t>
      </w:r>
      <w:proofErr w:type="spellStart"/>
      <w:r>
        <w:t>Debevere</w:t>
      </w:r>
      <w:proofErr w:type="spellEnd"/>
      <w:r>
        <w:t xml:space="preserve"> J., </w:t>
      </w:r>
      <w:proofErr w:type="spellStart"/>
      <w:r>
        <w:t>Uyttendaele</w:t>
      </w:r>
      <w:proofErr w:type="spellEnd"/>
      <w:r>
        <w:t xml:space="preserve">, M. </w:t>
      </w:r>
      <w:r w:rsidRPr="00C65C79">
        <w:t xml:space="preserve">(2009) </w:t>
      </w:r>
      <w:proofErr w:type="gramStart"/>
      <w:r w:rsidRPr="00C65C79">
        <w:t>The</w:t>
      </w:r>
      <w:proofErr w:type="gramEnd"/>
      <w:r w:rsidRPr="00C65C79">
        <w:t xml:space="preserve"> efficacy of preservation methods to inactivate foodborne viruses</w:t>
      </w:r>
      <w:r>
        <w:t>.</w:t>
      </w:r>
      <w:r w:rsidRPr="00C65C79">
        <w:t xml:space="preserve"> </w:t>
      </w:r>
      <w:proofErr w:type="spellStart"/>
      <w:r>
        <w:t>Int</w:t>
      </w:r>
      <w:proofErr w:type="spellEnd"/>
      <w:r>
        <w:t xml:space="preserve"> J Food </w:t>
      </w:r>
      <w:proofErr w:type="spellStart"/>
      <w:r>
        <w:t>Microbiol</w:t>
      </w:r>
      <w:proofErr w:type="spellEnd"/>
      <w:r>
        <w:t>,</w:t>
      </w:r>
      <w:r w:rsidRPr="00C65C79">
        <w:t xml:space="preserve"> 131</w:t>
      </w:r>
      <w:r>
        <w:t>:</w:t>
      </w:r>
      <w:r w:rsidRPr="00C65C79">
        <w:t xml:space="preserve"> 83–94</w:t>
      </w:r>
      <w:r>
        <w:t>.</w:t>
      </w:r>
      <w:r w:rsidRPr="00C65C79">
        <w:t xml:space="preserve"> </w:t>
      </w:r>
    </w:p>
    <w:p w14:paraId="66D55E68" w14:textId="77777777" w:rsidR="00F634D2" w:rsidRDefault="00F634D2" w:rsidP="00F634D2"/>
    <w:p w14:paraId="2293B850" w14:textId="77777777" w:rsidR="00F634D2" w:rsidRPr="001B24D3" w:rsidRDefault="00F634D2" w:rsidP="00F634D2">
      <w:pPr>
        <w:autoSpaceDE w:val="0"/>
        <w:autoSpaceDN w:val="0"/>
        <w:adjustRightInd w:val="0"/>
        <w:rPr>
          <w:rFonts w:cs="TimesNewRomanMTStd-Bold"/>
          <w:bCs/>
        </w:rPr>
      </w:pPr>
      <w:proofErr w:type="spellStart"/>
      <w:proofErr w:type="gramStart"/>
      <w:r>
        <w:t>Baert</w:t>
      </w:r>
      <w:proofErr w:type="spellEnd"/>
      <w:r>
        <w:t xml:space="preserve"> L. (2013) </w:t>
      </w:r>
      <w:r>
        <w:rPr>
          <w:rFonts w:cs="TimesNewRomanMTStd-Bold"/>
          <w:bCs/>
        </w:rPr>
        <w:t xml:space="preserve">Foodborne virus inactivation </w:t>
      </w:r>
      <w:r w:rsidRPr="001B24D3">
        <w:rPr>
          <w:rFonts w:cs="TimesNewRomanMTStd-Bold"/>
          <w:bCs/>
        </w:rPr>
        <w:t>by thermal and non-thermal processes</w:t>
      </w:r>
      <w:r>
        <w:rPr>
          <w:rFonts w:cs="TimesNewRomanMTStd-Bold"/>
          <w:bCs/>
        </w:rPr>
        <w:t>.</w:t>
      </w:r>
      <w:proofErr w:type="gramEnd"/>
      <w:r>
        <w:rPr>
          <w:rFonts w:cs="TimesNewRomanMTStd-Bold"/>
          <w:bCs/>
        </w:rPr>
        <w:t xml:space="preserve"> </w:t>
      </w:r>
      <w:r w:rsidRPr="001B24D3">
        <w:rPr>
          <w:rFonts w:cs="TimesNewRomanMTStd-Bold"/>
          <w:bCs/>
        </w:rPr>
        <w:t>In</w:t>
      </w:r>
      <w:r>
        <w:rPr>
          <w:rFonts w:cs="TimesNewRomanMTStd-Bold"/>
          <w:bCs/>
        </w:rPr>
        <w:t>:</w:t>
      </w:r>
      <w:r w:rsidRPr="001B24D3">
        <w:rPr>
          <w:rFonts w:cs="TimesNewRomanMTStd-Bold"/>
          <w:bCs/>
        </w:rPr>
        <w:t xml:space="preserve"> Viruses in food and water, Woodhead Publishing Limited.</w:t>
      </w:r>
      <w:r w:rsidRPr="00C65C79">
        <w:t xml:space="preserve"> </w:t>
      </w:r>
      <w:proofErr w:type="gramStart"/>
      <w:r w:rsidRPr="00C65C79">
        <w:t>p237-260</w:t>
      </w:r>
      <w:proofErr w:type="gramEnd"/>
      <w:r w:rsidR="00F6293A">
        <w:t>.</w:t>
      </w:r>
    </w:p>
    <w:p w14:paraId="1812AA8F" w14:textId="77777777" w:rsidR="00F634D2" w:rsidRDefault="00F634D2" w:rsidP="00F634D2">
      <w:pPr>
        <w:autoSpaceDE w:val="0"/>
        <w:autoSpaceDN w:val="0"/>
        <w:adjustRightInd w:val="0"/>
      </w:pPr>
    </w:p>
    <w:p w14:paraId="1F25ED18" w14:textId="77777777" w:rsidR="00F634D2" w:rsidRDefault="00F634D2" w:rsidP="00F634D2">
      <w:pPr>
        <w:autoSpaceDE w:val="0"/>
        <w:autoSpaceDN w:val="0"/>
        <w:adjustRightInd w:val="0"/>
      </w:pPr>
      <w:proofErr w:type="spellStart"/>
      <w:r>
        <w:t>Butot</w:t>
      </w:r>
      <w:proofErr w:type="spellEnd"/>
      <w:r>
        <w:t xml:space="preserve"> S., </w:t>
      </w:r>
      <w:proofErr w:type="spellStart"/>
      <w:r>
        <w:t>Putallaz</w:t>
      </w:r>
      <w:proofErr w:type="spellEnd"/>
      <w:r>
        <w:t xml:space="preserve"> T., Amoroso R., Sanchez G. (2009). Inactivation of enteric viruses in minimally processed berries and herbs. App. </w:t>
      </w:r>
      <w:proofErr w:type="spellStart"/>
      <w:r>
        <w:t>Env</w:t>
      </w:r>
      <w:proofErr w:type="spellEnd"/>
      <w:r>
        <w:t>.</w:t>
      </w:r>
      <w:r w:rsidR="00A33BFA">
        <w:t xml:space="preserve"> </w:t>
      </w:r>
      <w:proofErr w:type="gramStart"/>
      <w:r w:rsidR="00A33BFA">
        <w:t>Microbiology 75 (12) 4155-4161</w:t>
      </w:r>
      <w:r w:rsidR="00F6293A">
        <w:t>.</w:t>
      </w:r>
      <w:proofErr w:type="gramEnd"/>
    </w:p>
    <w:p w14:paraId="0D056D97" w14:textId="77777777" w:rsidR="00F634D2" w:rsidRDefault="00F634D2" w:rsidP="00F634D2">
      <w:pPr>
        <w:autoSpaceDE w:val="0"/>
        <w:autoSpaceDN w:val="0"/>
        <w:adjustRightInd w:val="0"/>
      </w:pPr>
    </w:p>
    <w:p w14:paraId="2449F25A" w14:textId="77777777" w:rsidR="00F634D2" w:rsidRDefault="00DE1C45" w:rsidP="00F634D2">
      <w:pPr>
        <w:autoSpaceDE w:val="0"/>
        <w:autoSpaceDN w:val="0"/>
        <w:adjustRightInd w:val="0"/>
      </w:pPr>
      <w:proofErr w:type="gramStart"/>
      <w:r>
        <w:t>Codex</w:t>
      </w:r>
      <w:r w:rsidR="00F634D2">
        <w:t xml:space="preserve"> (2012)</w:t>
      </w:r>
      <w:r w:rsidR="00F634D2" w:rsidRPr="00231189">
        <w:t xml:space="preserve"> Guidelines on the application of general principles of food hygiene to the control of viruses in food - </w:t>
      </w:r>
      <w:r w:rsidR="00F634D2" w:rsidRPr="00C65C79">
        <w:t>CAC/GL 79-2012</w:t>
      </w:r>
      <w:r>
        <w:t xml:space="preserve">, </w:t>
      </w:r>
      <w:r w:rsidRPr="00231189">
        <w:t>Codex</w:t>
      </w:r>
      <w:r>
        <w:t xml:space="preserve"> </w:t>
      </w:r>
      <w:proofErr w:type="spellStart"/>
      <w:r>
        <w:t>Alimentarius</w:t>
      </w:r>
      <w:proofErr w:type="spellEnd"/>
      <w:r w:rsidRPr="00231189">
        <w:t xml:space="preserve"> </w:t>
      </w:r>
      <w:r>
        <w:t>Commission</w:t>
      </w:r>
      <w:r w:rsidR="00F6293A">
        <w:t>.</w:t>
      </w:r>
      <w:proofErr w:type="gramEnd"/>
    </w:p>
    <w:p w14:paraId="43E33EE3" w14:textId="77777777" w:rsidR="00F634D2" w:rsidRDefault="00F634D2" w:rsidP="00F634D2"/>
    <w:p w14:paraId="7FF05C48" w14:textId="77777777" w:rsidR="00F634D2" w:rsidRDefault="00F634D2" w:rsidP="00F634D2">
      <w:proofErr w:type="spellStart"/>
      <w:r>
        <w:t>Deboosere</w:t>
      </w:r>
      <w:proofErr w:type="spellEnd"/>
      <w:r>
        <w:t xml:space="preserve"> N., </w:t>
      </w:r>
      <w:proofErr w:type="spellStart"/>
      <w:r>
        <w:t>Legeay</w:t>
      </w:r>
      <w:proofErr w:type="spellEnd"/>
      <w:r>
        <w:t xml:space="preserve"> O., </w:t>
      </w:r>
      <w:proofErr w:type="spellStart"/>
      <w:r>
        <w:t>Caudrelier</w:t>
      </w:r>
      <w:proofErr w:type="spellEnd"/>
      <w:r>
        <w:t xml:space="preserve"> Y. &amp; Lange M. (2004) Modelling effect of physical and chemical parameters on heat inactivation kinetics of hepatitis A virus in a fruit model system. </w:t>
      </w:r>
      <w:proofErr w:type="spellStart"/>
      <w:proofErr w:type="gramStart"/>
      <w:r>
        <w:t>Int</w:t>
      </w:r>
      <w:proofErr w:type="spellEnd"/>
      <w:r>
        <w:t xml:space="preserve"> J Food </w:t>
      </w:r>
      <w:proofErr w:type="spellStart"/>
      <w:r>
        <w:t>Microbiol</w:t>
      </w:r>
      <w:proofErr w:type="spellEnd"/>
      <w:r>
        <w:t>.</w:t>
      </w:r>
      <w:proofErr w:type="gramEnd"/>
      <w:r>
        <w:t xml:space="preserve"> 93: 73-85. </w:t>
      </w:r>
    </w:p>
    <w:p w14:paraId="431143D9" w14:textId="77777777" w:rsidR="00F634D2" w:rsidRDefault="00F634D2" w:rsidP="00F634D2"/>
    <w:p w14:paraId="0864A1E5" w14:textId="77777777" w:rsidR="00F634D2" w:rsidRDefault="00F634D2" w:rsidP="00F634D2">
      <w:proofErr w:type="spellStart"/>
      <w:r>
        <w:t>Deboosere</w:t>
      </w:r>
      <w:proofErr w:type="spellEnd"/>
      <w:r>
        <w:t xml:space="preserve"> N., Pinon A., </w:t>
      </w:r>
      <w:proofErr w:type="spellStart"/>
      <w:r>
        <w:t>Delobel</w:t>
      </w:r>
      <w:proofErr w:type="spellEnd"/>
      <w:r>
        <w:t xml:space="preserve"> A., </w:t>
      </w:r>
      <w:proofErr w:type="spellStart"/>
      <w:r>
        <w:t>Temmam</w:t>
      </w:r>
      <w:proofErr w:type="spellEnd"/>
      <w:r>
        <w:t xml:space="preserve"> S., Morin T., Merle G., Blaise-</w:t>
      </w:r>
      <w:proofErr w:type="spellStart"/>
      <w:r>
        <w:t>Boisseau</w:t>
      </w:r>
      <w:proofErr w:type="spellEnd"/>
      <w:r>
        <w:t xml:space="preserve"> S., </w:t>
      </w:r>
      <w:proofErr w:type="spellStart"/>
      <w:r>
        <w:t>Perelle</w:t>
      </w:r>
      <w:proofErr w:type="spellEnd"/>
      <w:r>
        <w:t xml:space="preserve"> S. &amp; </w:t>
      </w:r>
      <w:proofErr w:type="spellStart"/>
      <w:r>
        <w:t>Vialette</w:t>
      </w:r>
      <w:proofErr w:type="spellEnd"/>
      <w:r>
        <w:t xml:space="preserve"> M. (2010) A predictive microbiology approach for thermal inactivation of Hepatitis A virus in acidified berries. </w:t>
      </w:r>
      <w:proofErr w:type="gramStart"/>
      <w:r>
        <w:t xml:space="preserve">Food </w:t>
      </w:r>
      <w:proofErr w:type="spellStart"/>
      <w:r>
        <w:t>Microbiol</w:t>
      </w:r>
      <w:proofErr w:type="spellEnd"/>
      <w:r>
        <w:t>.</w:t>
      </w:r>
      <w:proofErr w:type="gramEnd"/>
      <w:r>
        <w:t xml:space="preserve"> 27: 962-7</w:t>
      </w:r>
      <w:r w:rsidR="00F6293A">
        <w:t>.</w:t>
      </w:r>
    </w:p>
    <w:p w14:paraId="17A37B4D" w14:textId="77777777" w:rsidR="00F634D2" w:rsidRDefault="00F634D2" w:rsidP="00F634D2"/>
    <w:p w14:paraId="75BDF9C8" w14:textId="77777777" w:rsidR="00F634D2" w:rsidRDefault="00E86F28" w:rsidP="00F634D2">
      <w:pPr>
        <w:autoSpaceDE w:val="0"/>
        <w:autoSpaceDN w:val="0"/>
        <w:adjustRightInd w:val="0"/>
      </w:pPr>
      <w:r>
        <w:t>US CDC</w:t>
      </w:r>
      <w:r w:rsidR="00F634D2">
        <w:t xml:space="preserve"> (2004)</w:t>
      </w:r>
      <w:r w:rsidR="00F634D2" w:rsidRPr="00231189">
        <w:t xml:space="preserve"> </w:t>
      </w:r>
      <w:r>
        <w:t xml:space="preserve">Fiore, A.E., </w:t>
      </w:r>
      <w:r w:rsidR="00F634D2" w:rsidRPr="00C65C79">
        <w:t>Hepatitis A Transmitted by Food</w:t>
      </w:r>
      <w:r w:rsidR="00F634D2">
        <w:t>.</w:t>
      </w:r>
      <w:r w:rsidR="00DB2420">
        <w:t xml:space="preserve"> </w:t>
      </w:r>
      <w:proofErr w:type="spellStart"/>
      <w:r w:rsidR="00DB2420">
        <w:t>Clin</w:t>
      </w:r>
      <w:proofErr w:type="spellEnd"/>
      <w:r w:rsidR="00DB2420">
        <w:t xml:space="preserve"> Infect Dis</w:t>
      </w:r>
      <w:r w:rsidR="00F634D2">
        <w:t>.</w:t>
      </w:r>
      <w:r w:rsidR="00F634D2" w:rsidRPr="00C65C79">
        <w:t xml:space="preserve"> 38:705–15</w:t>
      </w:r>
      <w:r>
        <w:t xml:space="preserve">. </w:t>
      </w:r>
      <w:hyperlink r:id="rId21" w:history="1">
        <w:r w:rsidRPr="00FA3D02">
          <w:rPr>
            <w:rStyle w:val="Hyperlink"/>
          </w:rPr>
          <w:t>http://www.cdc.gov/hepatitis/pdfs/fiore_ha_transmitted_by_food.pdf</w:t>
        </w:r>
      </w:hyperlink>
      <w:r>
        <w:t>, Accessed: 7 December 2015</w:t>
      </w:r>
      <w:r w:rsidR="00DB2420">
        <w:t>.</w:t>
      </w:r>
    </w:p>
    <w:p w14:paraId="1424726F" w14:textId="77777777" w:rsidR="00D81DEC" w:rsidRDefault="00D81DEC" w:rsidP="00F634D2">
      <w:pPr>
        <w:autoSpaceDE w:val="0"/>
        <w:autoSpaceDN w:val="0"/>
        <w:adjustRightInd w:val="0"/>
      </w:pPr>
    </w:p>
    <w:p w14:paraId="5546BAB4" w14:textId="77777777" w:rsidR="00D81DEC" w:rsidRPr="00C7133A" w:rsidRDefault="00A33BFA" w:rsidP="00F634D2">
      <w:pPr>
        <w:autoSpaceDE w:val="0"/>
        <w:autoSpaceDN w:val="0"/>
        <w:adjustRightInd w:val="0"/>
      </w:pPr>
      <w:r w:rsidRPr="00C7133A">
        <w:t>FDA</w:t>
      </w:r>
      <w:r w:rsidR="00D81DEC" w:rsidRPr="00C7133A">
        <w:t xml:space="preserve"> (2012) </w:t>
      </w:r>
      <w:r w:rsidR="003A17F4" w:rsidRPr="00C7133A">
        <w:t xml:space="preserve">Factors that affect microbial growth in food. In: </w:t>
      </w:r>
      <w:r w:rsidR="00D81DEC" w:rsidRPr="00C7133A">
        <w:t xml:space="preserve">Bad Bug Book, Foodborne Pathogenic Microorganisms and Natural Toxins. </w:t>
      </w:r>
      <w:proofErr w:type="gramStart"/>
      <w:r w:rsidR="003A17F4" w:rsidRPr="00C7133A">
        <w:t>2</w:t>
      </w:r>
      <w:r w:rsidR="003A17F4" w:rsidRPr="00C7133A">
        <w:rPr>
          <w:vertAlign w:val="superscript"/>
        </w:rPr>
        <w:t>nd</w:t>
      </w:r>
      <w:r w:rsidR="003A17F4" w:rsidRPr="00C7133A">
        <w:t xml:space="preserve"> Edition.</w:t>
      </w:r>
      <w:proofErr w:type="gramEnd"/>
      <w:r w:rsidR="003A17F4" w:rsidRPr="00C7133A">
        <w:t xml:space="preserve"> </w:t>
      </w:r>
      <w:proofErr w:type="gramStart"/>
      <w:r w:rsidRPr="00C7133A">
        <w:t>Food and Drug Administration, Washington, DC, USA.</w:t>
      </w:r>
      <w:proofErr w:type="gramEnd"/>
      <w:r w:rsidRPr="00C7133A">
        <w:t xml:space="preserve"> p262.</w:t>
      </w:r>
    </w:p>
    <w:p w14:paraId="157575F1" w14:textId="77777777" w:rsidR="00D81DEC" w:rsidRPr="00A33BFA" w:rsidRDefault="00D81DEC" w:rsidP="00F634D2">
      <w:pPr>
        <w:autoSpaceDE w:val="0"/>
        <w:autoSpaceDN w:val="0"/>
        <w:adjustRightInd w:val="0"/>
        <w:rPr>
          <w:highlight w:val="yellow"/>
        </w:rPr>
      </w:pPr>
    </w:p>
    <w:p w14:paraId="563A5D44" w14:textId="77777777" w:rsidR="00D81DEC" w:rsidRDefault="00A33BFA" w:rsidP="00F634D2">
      <w:pPr>
        <w:autoSpaceDE w:val="0"/>
        <w:autoSpaceDN w:val="0"/>
        <w:adjustRightInd w:val="0"/>
      </w:pPr>
      <w:proofErr w:type="gramStart"/>
      <w:r w:rsidRPr="00C7133A">
        <w:t>ICMSF</w:t>
      </w:r>
      <w:r w:rsidR="00D81DEC" w:rsidRPr="00C7133A">
        <w:t xml:space="preserve"> (2005) Fruits and fruit products.</w:t>
      </w:r>
      <w:proofErr w:type="gramEnd"/>
      <w:r w:rsidR="00D81DEC" w:rsidRPr="00C7133A">
        <w:t xml:space="preserve"> In: Microbial </w:t>
      </w:r>
      <w:r w:rsidRPr="00C7133A">
        <w:t>E</w:t>
      </w:r>
      <w:r w:rsidR="00D81DEC" w:rsidRPr="00C7133A">
        <w:t xml:space="preserve">cology of </w:t>
      </w:r>
      <w:r w:rsidRPr="00C7133A">
        <w:t>Food C</w:t>
      </w:r>
      <w:r w:rsidR="00D81DEC" w:rsidRPr="00C7133A">
        <w:t xml:space="preserve">ommodities, 2nd Edition, </w:t>
      </w:r>
      <w:r w:rsidRPr="00C7133A">
        <w:t xml:space="preserve">International Commission on Microbiological Specifications for Foods, </w:t>
      </w:r>
      <w:proofErr w:type="spellStart"/>
      <w:r w:rsidR="00D81DEC" w:rsidRPr="00C7133A">
        <w:t>Kluver</w:t>
      </w:r>
      <w:proofErr w:type="spellEnd"/>
      <w:r w:rsidR="00D81DEC" w:rsidRPr="00C7133A">
        <w:t xml:space="preserve"> Academic / Plenum Publishers</w:t>
      </w:r>
      <w:r w:rsidRPr="00C7133A">
        <w:t>. p</w:t>
      </w:r>
      <w:r w:rsidR="00D81DEC" w:rsidRPr="00C7133A">
        <w:t>327</w:t>
      </w:r>
      <w:r w:rsidR="00F6293A">
        <w:t>.</w:t>
      </w:r>
    </w:p>
    <w:p w14:paraId="1818D4D2" w14:textId="77777777" w:rsidR="00F634D2" w:rsidRDefault="00F634D2" w:rsidP="00F634D2"/>
    <w:p w14:paraId="0BA92AF9" w14:textId="77777777" w:rsidR="00F634D2" w:rsidRDefault="00F634D2" w:rsidP="00F634D2">
      <w:pPr>
        <w:autoSpaceDE w:val="0"/>
        <w:autoSpaceDN w:val="0"/>
        <w:adjustRightInd w:val="0"/>
        <w:rPr>
          <w:rFonts w:cs="ATQuaySans-Medium"/>
        </w:rPr>
      </w:pPr>
      <w:r>
        <w:t xml:space="preserve">Sanchez G. (2015) </w:t>
      </w:r>
      <w:r w:rsidRPr="001B24D3">
        <w:rPr>
          <w:rFonts w:cs="ATQuaySans-Medium"/>
        </w:rPr>
        <w:t>Processing Strat</w:t>
      </w:r>
      <w:r>
        <w:rPr>
          <w:rFonts w:cs="ATQuaySans-Medium"/>
        </w:rPr>
        <w:t xml:space="preserve">egies to Inactivate Hepatitis A </w:t>
      </w:r>
      <w:r w:rsidRPr="001B24D3">
        <w:rPr>
          <w:rFonts w:cs="ATQuaySans-Medium"/>
        </w:rPr>
        <w:t>Virus in Food Products: A Critical Review</w:t>
      </w:r>
      <w:r>
        <w:rPr>
          <w:rFonts w:cs="ATQuaySans-Medium"/>
        </w:rPr>
        <w:t xml:space="preserve">. </w:t>
      </w:r>
      <w:proofErr w:type="spellStart"/>
      <w:r w:rsidR="00DB2420">
        <w:rPr>
          <w:rFonts w:cs="ATQuaySans-Medium"/>
        </w:rPr>
        <w:t>Compr</w:t>
      </w:r>
      <w:proofErr w:type="spellEnd"/>
      <w:r>
        <w:rPr>
          <w:rFonts w:cs="ATQuaySans-Medium"/>
        </w:rPr>
        <w:t xml:space="preserve"> </w:t>
      </w:r>
      <w:r w:rsidR="00DB2420">
        <w:rPr>
          <w:rFonts w:cs="ATQuaySans-Medium"/>
        </w:rPr>
        <w:t>Rev</w:t>
      </w:r>
      <w:r>
        <w:rPr>
          <w:rFonts w:cs="ATQuaySans-Medium"/>
        </w:rPr>
        <w:t xml:space="preserve"> </w:t>
      </w:r>
      <w:r w:rsidRPr="001B24D3">
        <w:rPr>
          <w:rFonts w:cs="ATQuaySans-Medium"/>
        </w:rPr>
        <w:t>Food</w:t>
      </w:r>
      <w:r>
        <w:rPr>
          <w:rFonts w:cs="ATQuaySans-Medium"/>
        </w:rPr>
        <w:t xml:space="preserve"> </w:t>
      </w:r>
      <w:proofErr w:type="spellStart"/>
      <w:r w:rsidR="00DB2420">
        <w:rPr>
          <w:rFonts w:cs="ATQuaySans-Medium"/>
        </w:rPr>
        <w:t>Sci</w:t>
      </w:r>
      <w:proofErr w:type="spellEnd"/>
      <w:r>
        <w:rPr>
          <w:rFonts w:cs="ATQuaySans-Medium"/>
        </w:rPr>
        <w:t xml:space="preserve"> </w:t>
      </w:r>
      <w:r w:rsidR="00DB2420">
        <w:rPr>
          <w:rFonts w:cs="ATQuaySans-Medium"/>
        </w:rPr>
        <w:t>F</w:t>
      </w:r>
      <w:r w:rsidRPr="001B24D3">
        <w:rPr>
          <w:rFonts w:cs="ATQuaySans-Medium"/>
        </w:rPr>
        <w:t xml:space="preserve"> </w:t>
      </w:r>
      <w:r>
        <w:rPr>
          <w:rFonts w:cs="ATQuaySans-Medium"/>
        </w:rPr>
        <w:t>14 (6):771-784</w:t>
      </w:r>
      <w:r w:rsidR="00F6293A">
        <w:rPr>
          <w:rFonts w:cs="ATQuaySans-Medium"/>
        </w:rPr>
        <w:t>.</w:t>
      </w:r>
    </w:p>
    <w:p w14:paraId="73E24C26" w14:textId="77777777" w:rsidR="00F634D2" w:rsidRPr="00C65C79" w:rsidRDefault="00F634D2" w:rsidP="00F634D2">
      <w:pPr>
        <w:autoSpaceDE w:val="0"/>
        <w:autoSpaceDN w:val="0"/>
        <w:adjustRightInd w:val="0"/>
      </w:pPr>
    </w:p>
    <w:p w14:paraId="4B9048C3" w14:textId="77777777" w:rsidR="00786686" w:rsidRDefault="00E86F28" w:rsidP="008B7F41">
      <w:pPr>
        <w:autoSpaceDE w:val="0"/>
        <w:autoSpaceDN w:val="0"/>
        <w:adjustRightInd w:val="0"/>
      </w:pPr>
      <w:proofErr w:type="gramStart"/>
      <w:r>
        <w:t>WHO</w:t>
      </w:r>
      <w:proofErr w:type="gramEnd"/>
      <w:r w:rsidR="00F634D2">
        <w:t xml:space="preserve"> (2000) Hepatitis A</w:t>
      </w:r>
      <w:r>
        <w:t>,</w:t>
      </w:r>
      <w:r w:rsidR="00F634D2">
        <w:t xml:space="preserve"> </w:t>
      </w:r>
      <w:r>
        <w:t xml:space="preserve">World Health Organization, </w:t>
      </w:r>
      <w:r w:rsidRPr="00C65C79">
        <w:t>WHO/CDS/CSR/EDC/2000.7</w:t>
      </w:r>
      <w:r>
        <w:t xml:space="preserve">. </w:t>
      </w:r>
      <w:hyperlink r:id="rId22" w:history="1">
        <w:r w:rsidR="00DB2420" w:rsidRPr="00FA3D02">
          <w:rPr>
            <w:rStyle w:val="Hyperlink"/>
          </w:rPr>
          <w:t>http://www.who.int/csr/disease/hepatitis/HepatitisA_whocdscsredc2000_7.pdf?ua=1</w:t>
        </w:r>
      </w:hyperlink>
      <w:r w:rsidR="00DB2420">
        <w:t>, Accessed: 7 December 2015.</w:t>
      </w:r>
    </w:p>
    <w:sectPr w:rsidR="00786686">
      <w:footerReference w:type="even" r:id="rId23"/>
      <w:footerReference w:type="default" r:id="rId24"/>
      <w:type w:val="oddPage"/>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BE02" w14:textId="77777777" w:rsidR="00F61F66" w:rsidRDefault="00F61F66">
      <w:r>
        <w:separator/>
      </w:r>
    </w:p>
  </w:endnote>
  <w:endnote w:type="continuationSeparator" w:id="0">
    <w:p w14:paraId="4188F63E" w14:textId="77777777" w:rsidR="00F61F66" w:rsidRDefault="00F6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MTStd-Bold">
    <w:panose1 w:val="00000000000000000000"/>
    <w:charset w:val="00"/>
    <w:family w:val="auto"/>
    <w:notTrueType/>
    <w:pitch w:val="default"/>
    <w:sig w:usb0="00000003" w:usb1="00000000" w:usb2="00000000" w:usb3="00000000" w:csb0="00000001" w:csb1="00000000"/>
  </w:font>
  <w:font w:name="ATQuaySans-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11B2" w14:textId="77777777" w:rsidR="00081A7F" w:rsidRDefault="00081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89B3BB" w14:textId="77777777" w:rsidR="00081A7F" w:rsidRDefault="00081A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AF7D4" w14:textId="77777777" w:rsidR="00081A7F" w:rsidRPr="00231D6D" w:rsidRDefault="00081A7F">
    <w:pPr>
      <w:pStyle w:val="Footer"/>
      <w:pBdr>
        <w:top w:val="single" w:sz="4" w:space="1" w:color="auto"/>
      </w:pBdr>
      <w:tabs>
        <w:tab w:val="clear" w:pos="8640"/>
      </w:tabs>
      <w:jc w:val="center"/>
    </w:pPr>
    <w:r w:rsidRPr="00231D6D">
      <w:rPr>
        <w:rStyle w:val="PageNumber"/>
      </w:rPr>
      <w:fldChar w:fldCharType="begin"/>
    </w:r>
    <w:r w:rsidRPr="00231D6D">
      <w:rPr>
        <w:rStyle w:val="PageNumber"/>
      </w:rPr>
      <w:instrText xml:space="preserve"> PAGE </w:instrText>
    </w:r>
    <w:r w:rsidRPr="00231D6D">
      <w:rPr>
        <w:rStyle w:val="PageNumber"/>
      </w:rPr>
      <w:fldChar w:fldCharType="separate"/>
    </w:r>
    <w:r w:rsidR="009B6110">
      <w:rPr>
        <w:rStyle w:val="PageNumber"/>
        <w:noProof/>
      </w:rPr>
      <w:t>i</w:t>
    </w:r>
    <w:r w:rsidRPr="00231D6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4832" w14:textId="77777777" w:rsidR="00081A7F" w:rsidRDefault="00081A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0A33" w14:textId="39164768" w:rsidR="00081A7F" w:rsidRPr="0063707E" w:rsidRDefault="00081A7F">
    <w:pPr>
      <w:pStyle w:val="Footer"/>
      <w:pBdr>
        <w:top w:val="single" w:sz="4" w:space="1" w:color="auto"/>
      </w:pBdr>
      <w:tabs>
        <w:tab w:val="clear" w:pos="4320"/>
        <w:tab w:val="clear" w:pos="8640"/>
        <w:tab w:val="right" w:pos="9072"/>
      </w:tabs>
    </w:pPr>
    <w:r w:rsidRPr="0063707E">
      <w:rPr>
        <w:rStyle w:val="PageNumber"/>
      </w:rPr>
      <w:fldChar w:fldCharType="begin"/>
    </w:r>
    <w:r w:rsidRPr="0063707E">
      <w:rPr>
        <w:rStyle w:val="PageNumber"/>
      </w:rPr>
      <w:instrText xml:space="preserve"> PAGE </w:instrText>
    </w:r>
    <w:r w:rsidRPr="0063707E">
      <w:rPr>
        <w:rStyle w:val="PageNumber"/>
      </w:rPr>
      <w:fldChar w:fldCharType="separate"/>
    </w:r>
    <w:r w:rsidR="009B6110">
      <w:rPr>
        <w:rStyle w:val="PageNumber"/>
        <w:noProof/>
      </w:rPr>
      <w:t>4</w:t>
    </w:r>
    <w:r w:rsidRPr="0063707E">
      <w:rPr>
        <w:rStyle w:val="PageNumber"/>
      </w:rPr>
      <w:fldChar w:fldCharType="end"/>
    </w:r>
    <w:r w:rsidRPr="0063707E">
      <w:rPr>
        <w:rStyle w:val="PageNumber"/>
      </w:rPr>
      <w:t xml:space="preserve"> </w:t>
    </w:r>
    <w:r w:rsidRPr="0063707E">
      <w:sym w:font="Symbol" w:char="F0B7"/>
    </w:r>
    <w:r w:rsidR="001A679E">
      <w:t xml:space="preserve"> Guide for heat inactivation of hepatitis A virus in berries</w:t>
    </w:r>
    <w:r w:rsidRPr="0063707E">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0951" w14:textId="5EF70E9B" w:rsidR="00081A7F" w:rsidRPr="00C57E79" w:rsidRDefault="00081A7F">
    <w:pPr>
      <w:pStyle w:val="Footer"/>
      <w:pBdr>
        <w:top w:val="single" w:sz="4" w:space="1" w:color="auto"/>
      </w:pBdr>
      <w:tabs>
        <w:tab w:val="clear" w:pos="4320"/>
        <w:tab w:val="clear" w:pos="8640"/>
        <w:tab w:val="right" w:pos="9072"/>
      </w:tabs>
    </w:pPr>
    <w:r w:rsidRPr="00C57E79">
      <w:tab/>
    </w:r>
    <w:r w:rsidR="008703C7">
      <w:t>Guide for heat inactivation of hepatitis A virus in berries</w:t>
    </w:r>
    <w:r w:rsidRPr="00C57E79">
      <w:t xml:space="preserve"> </w:t>
    </w:r>
    <w:r w:rsidRPr="00C57E79">
      <w:sym w:font="Symbol" w:char="F0B7"/>
    </w:r>
    <w:r w:rsidRPr="00C57E79">
      <w:t xml:space="preserve"> </w:t>
    </w:r>
    <w:r w:rsidRPr="00C57E79">
      <w:rPr>
        <w:rStyle w:val="PageNumber"/>
      </w:rPr>
      <w:fldChar w:fldCharType="begin"/>
    </w:r>
    <w:r w:rsidRPr="00C57E79">
      <w:rPr>
        <w:rStyle w:val="PageNumber"/>
      </w:rPr>
      <w:instrText xml:space="preserve"> PAGE </w:instrText>
    </w:r>
    <w:r w:rsidRPr="00C57E79">
      <w:rPr>
        <w:rStyle w:val="PageNumber"/>
      </w:rPr>
      <w:fldChar w:fldCharType="separate"/>
    </w:r>
    <w:r w:rsidR="009B6110">
      <w:rPr>
        <w:rStyle w:val="PageNumber"/>
        <w:noProof/>
      </w:rPr>
      <w:t>5</w:t>
    </w:r>
    <w:r w:rsidRPr="00C57E7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8E829" w14:textId="77777777" w:rsidR="00F61F66" w:rsidRDefault="00F61F66">
      <w:r>
        <w:separator/>
      </w:r>
    </w:p>
  </w:footnote>
  <w:footnote w:type="continuationSeparator" w:id="0">
    <w:p w14:paraId="69889451" w14:textId="77777777" w:rsidR="00F61F66" w:rsidRDefault="00F61F66">
      <w:r>
        <w:continuationSeparator/>
      </w:r>
    </w:p>
  </w:footnote>
  <w:footnote w:id="1">
    <w:p w14:paraId="4326CE6C" w14:textId="77777777" w:rsidR="008703C7" w:rsidRDefault="008703C7" w:rsidP="008703C7">
      <w:r>
        <w:rPr>
          <w:rStyle w:val="FootnoteReference"/>
        </w:rPr>
        <w:footnoteRef/>
      </w:r>
      <w:r>
        <w:t xml:space="preserve"> </w:t>
      </w:r>
      <w:r w:rsidRPr="003068CD">
        <w:rPr>
          <w:sz w:val="18"/>
          <w:szCs w:val="18"/>
        </w:rPr>
        <w:t>FSANZ – Agents of Food Borne Illness (</w:t>
      </w:r>
      <w:hyperlink r:id="rId1" w:history="1">
        <w:r w:rsidRPr="003068CD">
          <w:rPr>
            <w:sz w:val="18"/>
            <w:szCs w:val="18"/>
          </w:rPr>
          <w:t>http://www.foodstandards.gov.au/publications/Pages/agentsoffoodborneill5155.aspx</w:t>
        </w:r>
      </w:hyperlink>
      <w:r w:rsidRPr="003068CD">
        <w:rPr>
          <w:sz w:val="18"/>
          <w:szCs w:val="18"/>
        </w:rPr>
        <w:t>)</w:t>
      </w:r>
    </w:p>
  </w:footnote>
  <w:footnote w:id="2">
    <w:p w14:paraId="42C9EA63" w14:textId="77777777" w:rsidR="008703C7" w:rsidRPr="00473784" w:rsidRDefault="008703C7" w:rsidP="008703C7">
      <w:pPr>
        <w:pStyle w:val="FootnoteText"/>
        <w:rPr>
          <w:sz w:val="18"/>
        </w:rPr>
      </w:pPr>
      <w:r w:rsidRPr="00473784">
        <w:rPr>
          <w:rStyle w:val="FootnoteReference"/>
          <w:sz w:val="18"/>
        </w:rPr>
        <w:footnoteRef/>
      </w:r>
      <w:r w:rsidRPr="00473784">
        <w:rPr>
          <w:sz w:val="18"/>
        </w:rPr>
        <w:t xml:space="preserve"> Time required for a 1 log</w:t>
      </w:r>
      <w:r w:rsidRPr="00473784">
        <w:rPr>
          <w:sz w:val="18"/>
          <w:vertAlign w:val="subscript"/>
        </w:rPr>
        <w:t>10</w:t>
      </w:r>
      <w:r w:rsidRPr="00473784">
        <w:rPr>
          <w:sz w:val="18"/>
        </w:rPr>
        <w:t xml:space="preserve"> reduction in concentration of viral particles</w:t>
      </w:r>
    </w:p>
  </w:footnote>
  <w:footnote w:id="3">
    <w:p w14:paraId="5731BA0B" w14:textId="77777777" w:rsidR="001A679E" w:rsidRPr="003068CD" w:rsidRDefault="001A679E" w:rsidP="001A679E">
      <w:pPr>
        <w:pStyle w:val="FootnoteText"/>
        <w:rPr>
          <w:sz w:val="18"/>
          <w:szCs w:val="18"/>
          <w:lang w:val="en-AU"/>
        </w:rPr>
      </w:pPr>
      <w:r w:rsidRPr="003068CD">
        <w:rPr>
          <w:rStyle w:val="FootnoteReference"/>
          <w:sz w:val="18"/>
          <w:szCs w:val="18"/>
        </w:rPr>
        <w:footnoteRef/>
      </w:r>
      <w:r w:rsidRPr="003068CD">
        <w:rPr>
          <w:sz w:val="18"/>
          <w:szCs w:val="18"/>
        </w:rPr>
        <w:t xml:space="preserve"> </w:t>
      </w:r>
      <w:proofErr w:type="gramStart"/>
      <w:r w:rsidRPr="003068CD">
        <w:rPr>
          <w:sz w:val="18"/>
          <w:szCs w:val="18"/>
          <w:lang w:val="en-AU"/>
        </w:rPr>
        <w:t>Extrapolated from linear portion of inactivation model.</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E982C" w14:textId="567F9881" w:rsidR="00081A7F" w:rsidRDefault="009B6110" w:rsidP="009B6110">
    <w:pPr>
      <w:pStyle w:val="Header"/>
      <w:jc w:val="center"/>
    </w:pPr>
    <w:r>
      <w:rPr>
        <w:noProof/>
        <w:lang w:val="en-GB" w:eastAsia="en-GB"/>
      </w:rPr>
      <w:drawing>
        <wp:inline distT="0" distB="0" distL="0" distR="0" wp14:anchorId="780A6F8A" wp14:editId="12324B87">
          <wp:extent cx="5188689" cy="8152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1">
                    <a:extLst>
                      <a:ext uri="{28A0092B-C50C-407E-A947-70E740481C1C}">
                        <a14:useLocalDpi xmlns:a14="http://schemas.microsoft.com/office/drawing/2010/main" val="0"/>
                      </a:ext>
                    </a:extLst>
                  </a:blip>
                  <a:stretch>
                    <a:fillRect/>
                  </a:stretch>
                </pic:blipFill>
                <pic:spPr>
                  <a:xfrm>
                    <a:off x="0" y="0"/>
                    <a:ext cx="5195050" cy="816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40972" w14:textId="77777777" w:rsidR="00081A7F" w:rsidRDefault="008703C7" w:rsidP="009F7A2D">
    <w:pPr>
      <w:pStyle w:val="Header"/>
      <w:jc w:val="right"/>
    </w:pPr>
    <w:r>
      <w:rPr>
        <w:noProof/>
        <w:lang w:val="en-GB" w:eastAsia="en-GB"/>
      </w:rPr>
      <mc:AlternateContent>
        <mc:Choice Requires="wps">
          <w:drawing>
            <wp:anchor distT="0" distB="0" distL="114300" distR="114300" simplePos="0" relativeHeight="251655168" behindDoc="0" locked="0" layoutInCell="1" allowOverlap="1" wp14:anchorId="23852281" wp14:editId="4589664F">
              <wp:simplePos x="0" y="0"/>
              <wp:positionH relativeFrom="column">
                <wp:posOffset>-3159125</wp:posOffset>
              </wp:positionH>
              <wp:positionV relativeFrom="paragraph">
                <wp:posOffset>-454660</wp:posOffset>
              </wp:positionV>
              <wp:extent cx="2160270" cy="10744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0744200"/>
                      </a:xfrm>
                      <a:prstGeom prst="rect">
                        <a:avLst/>
                      </a:prstGeom>
                      <a:solidFill>
                        <a:srgbClr val="FDB91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2BA9CC" id="Rectangle 4" o:spid="_x0000_s1026" style="position:absolute;margin-left:-248.75pt;margin-top:-35.8pt;width:170.1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" fillcolor="#fdb913" stroked="f" strokeweight="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nsid w:val="07F32E78"/>
    <w:multiLevelType w:val="hybridMultilevel"/>
    <w:tmpl w:val="C10C754C"/>
    <w:lvl w:ilvl="0" w:tplc="7706C4DC">
      <w:numFmt w:val="bullet"/>
      <w:lvlText w:val="-"/>
      <w:lvlJc w:val="left"/>
      <w:pPr>
        <w:ind w:left="720" w:hanging="360"/>
      </w:pPr>
      <w:rPr>
        <w:rFonts w:ascii="Calibri" w:eastAsiaTheme="minorHAnsi" w:hAnsi="Calibri" w:cstheme="minorBidi" w:hint="default"/>
      </w:rPr>
    </w:lvl>
    <w:lvl w:ilvl="1" w:tplc="4210E018">
      <w:numFmt w:val="bullet"/>
      <w:lvlText w:val="•"/>
      <w:lvlJc w:val="left"/>
      <w:pPr>
        <w:ind w:left="1080" w:firstLine="0"/>
      </w:pPr>
      <w:rPr>
        <w:rFonts w:asciiTheme="minorHAnsi" w:eastAsiaTheme="minorHAnsi" w:hAnsiTheme="minorHAns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D05A26"/>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39A3DB2"/>
    <w:multiLevelType w:val="hybridMultilevel"/>
    <w:tmpl w:val="1ADA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51EF73F5"/>
    <w:multiLevelType w:val="hybridMultilevel"/>
    <w:tmpl w:val="8EA84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83F3D5A"/>
    <w:multiLevelType w:val="multilevel"/>
    <w:tmpl w:val="A83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6504C8"/>
    <w:multiLevelType w:val="multilevel"/>
    <w:tmpl w:val="308E1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1541F2C"/>
    <w:multiLevelType w:val="singleLevel"/>
    <w:tmpl w:val="755A64F6"/>
    <w:lvl w:ilvl="0">
      <w:start w:val="1"/>
      <w:numFmt w:val="decimal"/>
      <w:pStyle w:val="ListNumber"/>
      <w:lvlText w:val="%1."/>
      <w:lvlJc w:val="left"/>
      <w:pPr>
        <w:tabs>
          <w:tab w:val="num" w:pos="1778"/>
        </w:tabs>
        <w:ind w:left="1758" w:hanging="340"/>
      </w:pPr>
      <w:rPr>
        <w:rFonts w:ascii="Times New Roman" w:hAnsi="Times New Roman" w:hint="default"/>
        <w:b w:val="0"/>
        <w:i w:val="0"/>
        <w:sz w:val="24"/>
        <w:effect w:val="none"/>
      </w:rPr>
    </w:lvl>
  </w:abstractNum>
  <w:num w:numId="1">
    <w:abstractNumId w:val="9"/>
  </w:num>
  <w:num w:numId="2">
    <w:abstractNumId w:val="5"/>
  </w:num>
  <w:num w:numId="3">
    <w:abstractNumId w:val="1"/>
  </w:num>
  <w:num w:numId="4">
    <w:abstractNumId w:val="0"/>
  </w:num>
  <w:num w:numId="5">
    <w:abstractNumId w:val="3"/>
  </w:num>
  <w:num w:numId="6">
    <w:abstractNumId w:val="2"/>
  </w:num>
  <w:num w:numId="7">
    <w:abstractNumId w:val="8"/>
  </w:num>
  <w:num w:numId="8">
    <w:abstractNumId w:val="6"/>
  </w:num>
  <w:num w:numId="9">
    <w:abstractNumId w:val="7"/>
  </w:num>
  <w:num w:numId="10">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Marie Perchec Merien">
    <w15:presenceInfo w15:providerId="AD" w15:userId="S-1-5-21-786310880-1508835292-3967366736-52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fdb913,#00544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7B"/>
    <w:rsid w:val="0002193E"/>
    <w:rsid w:val="00042029"/>
    <w:rsid w:val="0004506E"/>
    <w:rsid w:val="00045B04"/>
    <w:rsid w:val="000616D9"/>
    <w:rsid w:val="00063F89"/>
    <w:rsid w:val="00081A7F"/>
    <w:rsid w:val="000B5154"/>
    <w:rsid w:val="000D5637"/>
    <w:rsid w:val="000E3216"/>
    <w:rsid w:val="000F6E28"/>
    <w:rsid w:val="001246BB"/>
    <w:rsid w:val="001535E7"/>
    <w:rsid w:val="00164388"/>
    <w:rsid w:val="00164DC1"/>
    <w:rsid w:val="00192FB9"/>
    <w:rsid w:val="001A679E"/>
    <w:rsid w:val="001B7B52"/>
    <w:rsid w:val="001C3A31"/>
    <w:rsid w:val="001F0ED2"/>
    <w:rsid w:val="0020043F"/>
    <w:rsid w:val="00222DD9"/>
    <w:rsid w:val="00231D6D"/>
    <w:rsid w:val="00245F9B"/>
    <w:rsid w:val="002551B2"/>
    <w:rsid w:val="002604CD"/>
    <w:rsid w:val="002E629B"/>
    <w:rsid w:val="003035B7"/>
    <w:rsid w:val="003068CD"/>
    <w:rsid w:val="00316B4A"/>
    <w:rsid w:val="00317FF1"/>
    <w:rsid w:val="0033106D"/>
    <w:rsid w:val="00331E3B"/>
    <w:rsid w:val="00344267"/>
    <w:rsid w:val="00367A85"/>
    <w:rsid w:val="003800AA"/>
    <w:rsid w:val="003A17F4"/>
    <w:rsid w:val="003A1B6D"/>
    <w:rsid w:val="003B7D6D"/>
    <w:rsid w:val="003E4E01"/>
    <w:rsid w:val="003F258C"/>
    <w:rsid w:val="003F658E"/>
    <w:rsid w:val="004023F4"/>
    <w:rsid w:val="004041EB"/>
    <w:rsid w:val="00406B60"/>
    <w:rsid w:val="00436718"/>
    <w:rsid w:val="004478CC"/>
    <w:rsid w:val="00462F32"/>
    <w:rsid w:val="004C254B"/>
    <w:rsid w:val="004D1673"/>
    <w:rsid w:val="004F452C"/>
    <w:rsid w:val="00510B13"/>
    <w:rsid w:val="00511CB9"/>
    <w:rsid w:val="00523648"/>
    <w:rsid w:val="0054675E"/>
    <w:rsid w:val="00557FEA"/>
    <w:rsid w:val="00561228"/>
    <w:rsid w:val="00597C8F"/>
    <w:rsid w:val="005C5984"/>
    <w:rsid w:val="0060302F"/>
    <w:rsid w:val="0060668B"/>
    <w:rsid w:val="0063707E"/>
    <w:rsid w:val="0063762B"/>
    <w:rsid w:val="0065384F"/>
    <w:rsid w:val="00656E13"/>
    <w:rsid w:val="006A4F72"/>
    <w:rsid w:val="006C57DB"/>
    <w:rsid w:val="006D0580"/>
    <w:rsid w:val="006E07A0"/>
    <w:rsid w:val="006F6D2B"/>
    <w:rsid w:val="00704F5A"/>
    <w:rsid w:val="007075EB"/>
    <w:rsid w:val="00743021"/>
    <w:rsid w:val="007702A4"/>
    <w:rsid w:val="00786686"/>
    <w:rsid w:val="007869B3"/>
    <w:rsid w:val="007B49D1"/>
    <w:rsid w:val="007B752C"/>
    <w:rsid w:val="008157D4"/>
    <w:rsid w:val="0081658F"/>
    <w:rsid w:val="00821658"/>
    <w:rsid w:val="0084040D"/>
    <w:rsid w:val="008474C9"/>
    <w:rsid w:val="00865D3F"/>
    <w:rsid w:val="00866F96"/>
    <w:rsid w:val="008703C7"/>
    <w:rsid w:val="00872BA1"/>
    <w:rsid w:val="008A2739"/>
    <w:rsid w:val="008A6C96"/>
    <w:rsid w:val="008B0608"/>
    <w:rsid w:val="008B34A6"/>
    <w:rsid w:val="008B7F41"/>
    <w:rsid w:val="008C3DC5"/>
    <w:rsid w:val="008D4C5E"/>
    <w:rsid w:val="008E6C1B"/>
    <w:rsid w:val="00920546"/>
    <w:rsid w:val="0094123A"/>
    <w:rsid w:val="00960995"/>
    <w:rsid w:val="00975BDA"/>
    <w:rsid w:val="009B24D4"/>
    <w:rsid w:val="009B6110"/>
    <w:rsid w:val="009D78E1"/>
    <w:rsid w:val="009F77C1"/>
    <w:rsid w:val="009F7988"/>
    <w:rsid w:val="009F7A2D"/>
    <w:rsid w:val="00A228ED"/>
    <w:rsid w:val="00A33BFA"/>
    <w:rsid w:val="00A33C34"/>
    <w:rsid w:val="00A47315"/>
    <w:rsid w:val="00A82B78"/>
    <w:rsid w:val="00A93E80"/>
    <w:rsid w:val="00AC03BD"/>
    <w:rsid w:val="00AD047B"/>
    <w:rsid w:val="00AD4039"/>
    <w:rsid w:val="00AE2B9A"/>
    <w:rsid w:val="00B13C57"/>
    <w:rsid w:val="00B4412F"/>
    <w:rsid w:val="00B51D3C"/>
    <w:rsid w:val="00B541E2"/>
    <w:rsid w:val="00B72DD3"/>
    <w:rsid w:val="00B74F14"/>
    <w:rsid w:val="00B82AB9"/>
    <w:rsid w:val="00C12EBC"/>
    <w:rsid w:val="00C1350F"/>
    <w:rsid w:val="00C23B1F"/>
    <w:rsid w:val="00C44AA9"/>
    <w:rsid w:val="00C57E79"/>
    <w:rsid w:val="00C60C49"/>
    <w:rsid w:val="00C60C7F"/>
    <w:rsid w:val="00C6159E"/>
    <w:rsid w:val="00C6558D"/>
    <w:rsid w:val="00C6591E"/>
    <w:rsid w:val="00C7133A"/>
    <w:rsid w:val="00C9234B"/>
    <w:rsid w:val="00CA147C"/>
    <w:rsid w:val="00CB388E"/>
    <w:rsid w:val="00CC4A67"/>
    <w:rsid w:val="00CD4234"/>
    <w:rsid w:val="00CD61C6"/>
    <w:rsid w:val="00D17A4E"/>
    <w:rsid w:val="00D7586B"/>
    <w:rsid w:val="00D81DEC"/>
    <w:rsid w:val="00DB2420"/>
    <w:rsid w:val="00DD193B"/>
    <w:rsid w:val="00DE1C45"/>
    <w:rsid w:val="00DE54C9"/>
    <w:rsid w:val="00E1391D"/>
    <w:rsid w:val="00E22300"/>
    <w:rsid w:val="00E368AC"/>
    <w:rsid w:val="00E8057E"/>
    <w:rsid w:val="00E86F28"/>
    <w:rsid w:val="00EA6992"/>
    <w:rsid w:val="00EB2715"/>
    <w:rsid w:val="00EF5643"/>
    <w:rsid w:val="00F020EF"/>
    <w:rsid w:val="00F552D6"/>
    <w:rsid w:val="00F57AB0"/>
    <w:rsid w:val="00F61F66"/>
    <w:rsid w:val="00F6293A"/>
    <w:rsid w:val="00F634D2"/>
    <w:rsid w:val="00F66183"/>
    <w:rsid w:val="00FF510A"/>
    <w:rsid w:val="00FF74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db913,#005447"/>
    </o:shapedefaults>
    <o:shapelayout v:ext="edit">
      <o:idmap v:ext="edit" data="1"/>
    </o:shapelayout>
  </w:shapeDefaults>
  <w:decimalSymbol w:val="."/>
  <w:listSeparator w:val=","/>
  <w14:docId w14:val="7CA3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caption" w:lock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Number" w:semiHidden="0" w:unhideWhenUsed="0"/>
    <w:lsdException w:name="List 3" w:locked="1"/>
    <w:lsdException w:name="List 4" w:locked="1" w:semiHidden="0" w:unhideWhenUsed="0"/>
    <w:lsdException w:name="List 5" w:locked="1" w:semiHidden="0" w:unhideWhenUsed="0"/>
    <w:lsdException w:name="List Bullet 3" w:locked="1"/>
    <w:lsdException w:name="List Bullet 4" w:locked="1"/>
    <w:lsdException w:name="List Bullet 5"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locked="1" w:semiHidden="0" w:unhideWhenUsed="0"/>
    <w:lsdException w:name="Body Text First Indent 2" w:locked="1"/>
    <w:lsdException w:name="Body Text 2"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Normal"/>
    <w:qFormat/>
    <w:rsid w:val="00D7586B"/>
    <w:pPr>
      <w:keepNext/>
      <w:numPr>
        <w:numId w:val="5"/>
      </w:numPr>
      <w:spacing w:before="240" w:after="60"/>
      <w:outlineLvl w:val="0"/>
    </w:pPr>
    <w:rPr>
      <w:rFonts w:ascii="Arial Narrow" w:hAnsi="Arial Narrow"/>
      <w:b/>
      <w:kern w:val="28"/>
      <w:sz w:val="36"/>
      <w:lang w:eastAsia="en-US"/>
    </w:rPr>
  </w:style>
  <w:style w:type="paragraph" w:styleId="Heading2">
    <w:name w:val="heading 2"/>
    <w:basedOn w:val="Heading1"/>
    <w:next w:val="Normal"/>
    <w:qFormat/>
    <w:rsid w:val="00D7586B"/>
    <w:pPr>
      <w:numPr>
        <w:ilvl w:val="1"/>
      </w:numPr>
      <w:outlineLvl w:val="1"/>
    </w:pPr>
    <w:rPr>
      <w:caps/>
      <w:sz w:val="28"/>
    </w:rPr>
  </w:style>
  <w:style w:type="paragraph" w:styleId="Heading3">
    <w:name w:val="heading 3"/>
    <w:basedOn w:val="Heading2"/>
    <w:next w:val="Normal"/>
    <w:qFormat/>
    <w:rsid w:val="00D7586B"/>
    <w:pPr>
      <w:numPr>
        <w:ilvl w:val="2"/>
      </w:numPr>
      <w:outlineLvl w:val="2"/>
    </w:pPr>
    <w:rPr>
      <w:caps w:val="0"/>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rPr>
      <w:sz w:val="20"/>
    </w:r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rsid w:val="00231D6D"/>
    <w:pPr>
      <w:spacing w:before="60" w:after="60"/>
    </w:pPr>
    <w:rPr>
      <w:rFonts w:ascii="Arial Narrow" w:hAnsi="Arial Narrow"/>
      <w:b/>
      <w:sz w:val="20"/>
    </w:rPr>
  </w:style>
  <w:style w:type="paragraph" w:customStyle="1" w:styleId="TableMainTitle">
    <w:name w:val="Table Main Title"/>
    <w:basedOn w:val="Normal"/>
    <w:rsid w:val="009D78E1"/>
    <w:rPr>
      <w:rFonts w:ascii="Arial Narrow" w:hAnsi="Arial Narrow"/>
      <w:b/>
    </w:rPr>
  </w:style>
  <w:style w:type="paragraph" w:customStyle="1" w:styleId="TableNote">
    <w:name w:val="Table Note"/>
    <w:basedOn w:val="Normal"/>
    <w:rPr>
      <w:rFonts w:ascii="Arial Narrow" w:hAnsi="Arial Narrow"/>
      <w:sz w:val="16"/>
    </w:rPr>
  </w:style>
  <w:style w:type="paragraph" w:customStyle="1" w:styleId="TableSource">
    <w:name w:val="Table Source"/>
    <w:basedOn w:val="Normal"/>
    <w:locked/>
    <w:pPr>
      <w:jc w:val="right"/>
    </w:pPr>
    <w:rPr>
      <w:i/>
      <w:sz w:val="16"/>
    </w:rPr>
  </w:style>
  <w:style w:type="paragraph" w:customStyle="1" w:styleId="TableTotals">
    <w:name w:val="Table Totals"/>
    <w:basedOn w:val="Normal"/>
    <w:rPr>
      <w:rFonts w:ascii="Arial Narrow" w:hAnsi="Arial Narrow"/>
      <w:b/>
      <w:sz w:val="20"/>
    </w:rPr>
  </w:style>
  <w:style w:type="paragraph" w:customStyle="1" w:styleId="TablesText">
    <w:name w:val="Tables Text"/>
    <w:basedOn w:val="Normal"/>
    <w:rPr>
      <w:rFonts w:ascii="Arial Narrow" w:hAnsi="Arial Narrow"/>
      <w:sz w:val="20"/>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rsid w:val="00C57E79"/>
    <w:pPr>
      <w:tabs>
        <w:tab w:val="center" w:pos="4320"/>
        <w:tab w:val="right" w:pos="8640"/>
      </w:tabs>
    </w:pPr>
    <w:rPr>
      <w:rFonts w:ascii="Arial Narrow" w:hAnsi="Arial Narrow"/>
      <w:sz w:val="18"/>
    </w:rPr>
  </w:style>
  <w:style w:type="paragraph" w:styleId="Header">
    <w:name w:val="header"/>
    <w:basedOn w:val="Normal"/>
    <w:pPr>
      <w:tabs>
        <w:tab w:val="center" w:pos="4320"/>
        <w:tab w:val="right" w:pos="8640"/>
      </w:tabs>
    </w:pPr>
  </w:style>
  <w:style w:type="paragraph" w:customStyle="1" w:styleId="Page">
    <w:name w:val="Page"/>
    <w:basedOn w:val="Normal"/>
    <w:rsid w:val="00231D6D"/>
  </w:style>
  <w:style w:type="character" w:styleId="PageNumber">
    <w:name w:val="page number"/>
    <w:basedOn w:val="DefaultParagraphFont"/>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locked/>
    <w:rsid w:val="008A6C96"/>
    <w:pPr>
      <w:tabs>
        <w:tab w:val="right" w:pos="9072"/>
      </w:tabs>
      <w:spacing w:before="240"/>
      <w:ind w:left="567" w:hanging="567"/>
    </w:pPr>
    <w:rPr>
      <w:b/>
      <w:noProof/>
    </w:rPr>
  </w:style>
  <w:style w:type="paragraph" w:styleId="TOC2">
    <w:name w:val="toc 2"/>
    <w:basedOn w:val="TOC1"/>
    <w:uiPriority w:val="39"/>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rsid w:val="00C1350F"/>
    <w:pPr>
      <w:numPr>
        <w:numId w:val="1"/>
      </w:numPr>
      <w:tabs>
        <w:tab w:val="clear" w:pos="1778"/>
      </w:tabs>
      <w:ind w:left="425" w:hanging="425"/>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sz w:val="20"/>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B72DD3"/>
    <w:pPr>
      <w:spacing w:before="240" w:after="60"/>
    </w:pPr>
    <w:rPr>
      <w:rFonts w:ascii="Arial Narrow" w:hAnsi="Arial Narrow" w:cs="Arial"/>
      <w:b/>
      <w:bCs/>
      <w:kern w:val="28"/>
      <w:sz w:val="48"/>
      <w:szCs w:val="32"/>
    </w:rPr>
  </w:style>
  <w:style w:type="character" w:customStyle="1" w:styleId="TitleChar">
    <w:name w:val="Title Char"/>
    <w:basedOn w:val="DefaultParagraphFont"/>
    <w:link w:val="Title"/>
    <w:rsid w:val="00B72DD3"/>
    <w:rPr>
      <w:rFonts w:ascii="Arial Narrow" w:hAnsi="Arial Narrow" w:cs="Arial"/>
      <w:b/>
      <w:bCs/>
      <w:kern w:val="28"/>
      <w:sz w:val="48"/>
      <w:szCs w:val="32"/>
      <w:lang w:val="en-NZ" w:eastAsia="en-US" w:bidi="ar-SA"/>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rsid w:val="00C57E79"/>
    <w:pPr>
      <w:ind w:right="1395"/>
    </w:pPr>
    <w:rPr>
      <w:rFonts w:ascii="Arial Narrow" w:hAnsi="Arial Narrow"/>
      <w:b/>
      <w:sz w:val="36"/>
    </w:rPr>
  </w:style>
  <w:style w:type="paragraph" w:styleId="ListBullet2">
    <w:name w:val="List Bullet 2"/>
    <w:basedOn w:val="Normal"/>
    <w:rsid w:val="00C57E79"/>
    <w:pPr>
      <w:numPr>
        <w:numId w:val="3"/>
      </w:numPr>
    </w:pPr>
  </w:style>
  <w:style w:type="paragraph" w:styleId="ListNumber2">
    <w:name w:val="List Number 2"/>
    <w:basedOn w:val="Normal"/>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basedOn w:val="DefaultParagraphFont"/>
    <w:rsid w:val="00231D6D"/>
    <w:rPr>
      <w:b/>
    </w:rPr>
  </w:style>
  <w:style w:type="character" w:customStyle="1" w:styleId="Italic">
    <w:name w:val="Italic"/>
    <w:basedOn w:val="DefaultParagraphFont"/>
    <w:rsid w:val="00231D6D"/>
    <w:rPr>
      <w:i/>
    </w:rPr>
  </w:style>
  <w:style w:type="character" w:customStyle="1" w:styleId="BoldItalic">
    <w:name w:val="Bold Italic"/>
    <w:basedOn w:val="DefaultParagraphFont"/>
    <w:rsid w:val="00231D6D"/>
    <w:rPr>
      <w:b/>
      <w:i/>
    </w:rPr>
  </w:style>
  <w:style w:type="character" w:customStyle="1" w:styleId="superscript">
    <w:name w:val="superscript"/>
    <w:basedOn w:val="DefaultParagraphFont"/>
    <w:rsid w:val="004D1673"/>
    <w:rPr>
      <w:vertAlign w:val="superscript"/>
    </w:rPr>
  </w:style>
  <w:style w:type="character" w:customStyle="1" w:styleId="subscript">
    <w:name w:val="subscript"/>
    <w:basedOn w:val="superscript"/>
    <w:rsid w:val="004D1673"/>
    <w:rPr>
      <w:vertAlign w:val="subscript"/>
    </w:rPr>
  </w:style>
  <w:style w:type="character" w:styleId="FollowedHyperlink">
    <w:name w:val="FollowedHyperlink"/>
    <w:basedOn w:val="DefaultParagraphFont"/>
    <w:rsid w:val="007075EB"/>
    <w:rPr>
      <w:color w:val="800080"/>
      <w:u w:val="single"/>
    </w:rPr>
  </w:style>
  <w:style w:type="character" w:styleId="Hyperlink">
    <w:name w:val="Hyperlink"/>
    <w:basedOn w:val="DefaultParagraphFont"/>
    <w:rsid w:val="006C57DB"/>
    <w:rPr>
      <w:color w:val="0000FF"/>
      <w:u w:val="single"/>
    </w:rPr>
  </w:style>
  <w:style w:type="character" w:customStyle="1" w:styleId="Heading5Char">
    <w:name w:val="Heading 5 Char"/>
    <w:basedOn w:val="DefaultParagraphFont"/>
    <w:link w:val="Heading5"/>
    <w:semiHidden/>
    <w:rsid w:val="00D7586B"/>
    <w:rPr>
      <w:rFonts w:ascii="Calibri" w:hAnsi="Calibri"/>
      <w:b/>
      <w:bCs/>
      <w:i/>
      <w:iCs/>
      <w:sz w:val="26"/>
      <w:szCs w:val="26"/>
      <w:lang w:eastAsia="en-US"/>
    </w:rPr>
  </w:style>
  <w:style w:type="character" w:customStyle="1" w:styleId="Heading6Char">
    <w:name w:val="Heading 6 Char"/>
    <w:basedOn w:val="DefaultParagraphFont"/>
    <w:link w:val="Heading6"/>
    <w:semiHidden/>
    <w:rsid w:val="00D7586B"/>
    <w:rPr>
      <w:rFonts w:ascii="Calibri" w:hAnsi="Calibri"/>
      <w:b/>
      <w:bCs/>
      <w:sz w:val="22"/>
      <w:szCs w:val="22"/>
      <w:lang w:eastAsia="en-US"/>
    </w:rPr>
  </w:style>
  <w:style w:type="character" w:customStyle="1" w:styleId="Heading7Char">
    <w:name w:val="Heading 7 Char"/>
    <w:basedOn w:val="DefaultParagraphFont"/>
    <w:link w:val="Heading7"/>
    <w:semiHidden/>
    <w:rsid w:val="00D7586B"/>
    <w:rPr>
      <w:rFonts w:ascii="Calibri" w:hAnsi="Calibri"/>
      <w:sz w:val="24"/>
      <w:szCs w:val="24"/>
      <w:lang w:eastAsia="en-US"/>
    </w:rPr>
  </w:style>
  <w:style w:type="character" w:customStyle="1" w:styleId="Heading8Char">
    <w:name w:val="Heading 8 Char"/>
    <w:basedOn w:val="DefaultParagraphFont"/>
    <w:link w:val="Heading8"/>
    <w:semiHidden/>
    <w:rsid w:val="00D7586B"/>
    <w:rPr>
      <w:rFonts w:ascii="Calibri" w:hAnsi="Calibri"/>
      <w:i/>
      <w:iCs/>
      <w:sz w:val="24"/>
      <w:szCs w:val="24"/>
      <w:lang w:eastAsia="en-US"/>
    </w:rPr>
  </w:style>
  <w:style w:type="character" w:customStyle="1" w:styleId="Heading9Char">
    <w:name w:val="Heading 9 Char"/>
    <w:basedOn w:val="DefaultParagraphFont"/>
    <w:link w:val="Heading9"/>
    <w:semiHidden/>
    <w:rsid w:val="00D7586B"/>
    <w:rPr>
      <w:rFonts w:ascii="Cambria" w:hAnsi="Cambria"/>
      <w:sz w:val="22"/>
      <w:szCs w:val="22"/>
      <w:lang w:eastAsia="en-US"/>
    </w:rPr>
  </w:style>
  <w:style w:type="character" w:styleId="FootnoteReference">
    <w:name w:val="footnote reference"/>
    <w:uiPriority w:val="99"/>
    <w:unhideWhenUsed/>
    <w:rsid w:val="008703C7"/>
    <w:rPr>
      <w:vertAlign w:val="superscript"/>
    </w:rPr>
  </w:style>
  <w:style w:type="paragraph" w:styleId="ListParagraph">
    <w:name w:val="List Paragraph"/>
    <w:basedOn w:val="Normal"/>
    <w:uiPriority w:val="34"/>
    <w:qFormat/>
    <w:rsid w:val="008703C7"/>
    <w:pPr>
      <w:spacing w:after="160" w:line="259" w:lineRule="auto"/>
      <w:ind w:left="720"/>
      <w:contextualSpacing/>
    </w:pPr>
    <w:rPr>
      <w:rFonts w:ascii="Calibri" w:hAnsi="Calibri"/>
      <w:sz w:val="22"/>
      <w:szCs w:val="22"/>
    </w:rPr>
  </w:style>
  <w:style w:type="character" w:customStyle="1" w:styleId="FootnoteTextChar">
    <w:name w:val="Footnote Text Char"/>
    <w:link w:val="FootnoteText"/>
    <w:uiPriority w:val="99"/>
    <w:rsid w:val="008703C7"/>
    <w:rPr>
      <w:sz w:val="16"/>
      <w:lang w:eastAsia="en-US"/>
    </w:rPr>
  </w:style>
  <w:style w:type="table" w:customStyle="1" w:styleId="TableGrid2">
    <w:name w:val="Table Grid2"/>
    <w:basedOn w:val="TableNormal"/>
    <w:next w:val="TableGrid"/>
    <w:uiPriority w:val="39"/>
    <w:rsid w:val="001A679E"/>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634D2"/>
    <w:rPr>
      <w:sz w:val="16"/>
      <w:szCs w:val="16"/>
    </w:rPr>
  </w:style>
  <w:style w:type="paragraph" w:styleId="CommentText">
    <w:name w:val="annotation text"/>
    <w:basedOn w:val="Normal"/>
    <w:link w:val="CommentTextChar"/>
    <w:uiPriority w:val="99"/>
    <w:unhideWhenUsed/>
    <w:rsid w:val="00F634D2"/>
    <w:pPr>
      <w:spacing w:after="16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F634D2"/>
    <w:rPr>
      <w:rFonts w:asciiTheme="minorHAnsi" w:eastAsiaTheme="minorEastAsia" w:hAnsiTheme="minorHAnsi" w:cstheme="minorBidi"/>
      <w:lang w:eastAsia="en-US"/>
    </w:rPr>
  </w:style>
  <w:style w:type="paragraph" w:styleId="BalloonText">
    <w:name w:val="Balloon Text"/>
    <w:basedOn w:val="Normal"/>
    <w:link w:val="BalloonTextChar"/>
    <w:locked/>
    <w:rsid w:val="00F634D2"/>
    <w:rPr>
      <w:rFonts w:ascii="Segoe UI" w:hAnsi="Segoe UI" w:cs="Segoe UI"/>
      <w:sz w:val="18"/>
      <w:szCs w:val="18"/>
    </w:rPr>
  </w:style>
  <w:style w:type="character" w:customStyle="1" w:styleId="BalloonTextChar">
    <w:name w:val="Balloon Text Char"/>
    <w:basedOn w:val="DefaultParagraphFont"/>
    <w:link w:val="BalloonText"/>
    <w:rsid w:val="00F634D2"/>
    <w:rPr>
      <w:rFonts w:ascii="Segoe UI" w:hAnsi="Segoe UI" w:cs="Segoe UI"/>
      <w:sz w:val="18"/>
      <w:szCs w:val="18"/>
      <w:lang w:eastAsia="en-US"/>
    </w:rPr>
  </w:style>
  <w:style w:type="paragraph" w:styleId="CommentSubject">
    <w:name w:val="annotation subject"/>
    <w:basedOn w:val="CommentText"/>
    <w:next w:val="CommentText"/>
    <w:link w:val="CommentSubjectChar"/>
    <w:rsid w:val="00367A8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67A85"/>
    <w:rPr>
      <w:rFonts w:asciiTheme="minorHAnsi" w:eastAsiaTheme="minorEastAsia" w:hAnsiTheme="minorHAnsi" w:cstheme="minorBidi"/>
      <w:b/>
      <w:bCs/>
      <w:lang w:eastAsia="en-US"/>
    </w:rPr>
  </w:style>
  <w:style w:type="table" w:customStyle="1" w:styleId="TableGrid1">
    <w:name w:val="Table Grid1"/>
    <w:basedOn w:val="TableNormal"/>
    <w:next w:val="TableGrid"/>
    <w:uiPriority w:val="39"/>
    <w:rsid w:val="00960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58D"/>
    <w:rPr>
      <w:sz w:val="24"/>
      <w:lang w:eastAsia="en-US"/>
    </w:rPr>
  </w:style>
  <w:style w:type="paragraph" w:styleId="NormalWeb">
    <w:name w:val="Normal (Web)"/>
    <w:basedOn w:val="Normal"/>
    <w:uiPriority w:val="99"/>
    <w:semiHidden/>
    <w:unhideWhenUsed/>
    <w:locked/>
    <w:rsid w:val="0060302F"/>
    <w:pPr>
      <w:spacing w:before="100" w:beforeAutospacing="1" w:after="100" w:afterAutospacing="1"/>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caption" w:lock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Number" w:semiHidden="0" w:unhideWhenUsed="0"/>
    <w:lsdException w:name="List 3" w:locked="1"/>
    <w:lsdException w:name="List 4" w:locked="1" w:semiHidden="0" w:unhideWhenUsed="0"/>
    <w:lsdException w:name="List 5" w:locked="1" w:semiHidden="0" w:unhideWhenUsed="0"/>
    <w:lsdException w:name="List Bullet 3" w:locked="1"/>
    <w:lsdException w:name="List Bullet 4" w:locked="1"/>
    <w:lsdException w:name="List Bullet 5"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locked="1" w:semiHidden="0" w:unhideWhenUsed="0"/>
    <w:lsdException w:name="Body Text First Indent 2" w:locked="1"/>
    <w:lsdException w:name="Body Text 2"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Normal"/>
    <w:qFormat/>
    <w:rsid w:val="00D7586B"/>
    <w:pPr>
      <w:keepNext/>
      <w:numPr>
        <w:numId w:val="5"/>
      </w:numPr>
      <w:spacing w:before="240" w:after="60"/>
      <w:outlineLvl w:val="0"/>
    </w:pPr>
    <w:rPr>
      <w:rFonts w:ascii="Arial Narrow" w:hAnsi="Arial Narrow"/>
      <w:b/>
      <w:kern w:val="28"/>
      <w:sz w:val="36"/>
      <w:lang w:eastAsia="en-US"/>
    </w:rPr>
  </w:style>
  <w:style w:type="paragraph" w:styleId="Heading2">
    <w:name w:val="heading 2"/>
    <w:basedOn w:val="Heading1"/>
    <w:next w:val="Normal"/>
    <w:qFormat/>
    <w:rsid w:val="00D7586B"/>
    <w:pPr>
      <w:numPr>
        <w:ilvl w:val="1"/>
      </w:numPr>
      <w:outlineLvl w:val="1"/>
    </w:pPr>
    <w:rPr>
      <w:caps/>
      <w:sz w:val="28"/>
    </w:rPr>
  </w:style>
  <w:style w:type="paragraph" w:styleId="Heading3">
    <w:name w:val="heading 3"/>
    <w:basedOn w:val="Heading2"/>
    <w:next w:val="Normal"/>
    <w:qFormat/>
    <w:rsid w:val="00D7586B"/>
    <w:pPr>
      <w:numPr>
        <w:ilvl w:val="2"/>
      </w:numPr>
      <w:outlineLvl w:val="2"/>
    </w:pPr>
    <w:rPr>
      <w:caps w:val="0"/>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rPr>
      <w:sz w:val="20"/>
    </w:r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rsid w:val="00231D6D"/>
    <w:pPr>
      <w:spacing w:before="60" w:after="60"/>
    </w:pPr>
    <w:rPr>
      <w:rFonts w:ascii="Arial Narrow" w:hAnsi="Arial Narrow"/>
      <w:b/>
      <w:sz w:val="20"/>
    </w:rPr>
  </w:style>
  <w:style w:type="paragraph" w:customStyle="1" w:styleId="TableMainTitle">
    <w:name w:val="Table Main Title"/>
    <w:basedOn w:val="Normal"/>
    <w:rsid w:val="009D78E1"/>
    <w:rPr>
      <w:rFonts w:ascii="Arial Narrow" w:hAnsi="Arial Narrow"/>
      <w:b/>
    </w:rPr>
  </w:style>
  <w:style w:type="paragraph" w:customStyle="1" w:styleId="TableNote">
    <w:name w:val="Table Note"/>
    <w:basedOn w:val="Normal"/>
    <w:rPr>
      <w:rFonts w:ascii="Arial Narrow" w:hAnsi="Arial Narrow"/>
      <w:sz w:val="16"/>
    </w:rPr>
  </w:style>
  <w:style w:type="paragraph" w:customStyle="1" w:styleId="TableSource">
    <w:name w:val="Table Source"/>
    <w:basedOn w:val="Normal"/>
    <w:locked/>
    <w:pPr>
      <w:jc w:val="right"/>
    </w:pPr>
    <w:rPr>
      <w:i/>
      <w:sz w:val="16"/>
    </w:rPr>
  </w:style>
  <w:style w:type="paragraph" w:customStyle="1" w:styleId="TableTotals">
    <w:name w:val="Table Totals"/>
    <w:basedOn w:val="Normal"/>
    <w:rPr>
      <w:rFonts w:ascii="Arial Narrow" w:hAnsi="Arial Narrow"/>
      <w:b/>
      <w:sz w:val="20"/>
    </w:rPr>
  </w:style>
  <w:style w:type="paragraph" w:customStyle="1" w:styleId="TablesText">
    <w:name w:val="Tables Text"/>
    <w:basedOn w:val="Normal"/>
    <w:rPr>
      <w:rFonts w:ascii="Arial Narrow" w:hAnsi="Arial Narrow"/>
      <w:sz w:val="20"/>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rsid w:val="00C57E79"/>
    <w:pPr>
      <w:tabs>
        <w:tab w:val="center" w:pos="4320"/>
        <w:tab w:val="right" w:pos="8640"/>
      </w:tabs>
    </w:pPr>
    <w:rPr>
      <w:rFonts w:ascii="Arial Narrow" w:hAnsi="Arial Narrow"/>
      <w:sz w:val="18"/>
    </w:rPr>
  </w:style>
  <w:style w:type="paragraph" w:styleId="Header">
    <w:name w:val="header"/>
    <w:basedOn w:val="Normal"/>
    <w:pPr>
      <w:tabs>
        <w:tab w:val="center" w:pos="4320"/>
        <w:tab w:val="right" w:pos="8640"/>
      </w:tabs>
    </w:pPr>
  </w:style>
  <w:style w:type="paragraph" w:customStyle="1" w:styleId="Page">
    <w:name w:val="Page"/>
    <w:basedOn w:val="Normal"/>
    <w:rsid w:val="00231D6D"/>
  </w:style>
  <w:style w:type="character" w:styleId="PageNumber">
    <w:name w:val="page number"/>
    <w:basedOn w:val="DefaultParagraphFont"/>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locked/>
    <w:rsid w:val="008A6C96"/>
    <w:pPr>
      <w:tabs>
        <w:tab w:val="right" w:pos="9072"/>
      </w:tabs>
      <w:spacing w:before="240"/>
      <w:ind w:left="567" w:hanging="567"/>
    </w:pPr>
    <w:rPr>
      <w:b/>
      <w:noProof/>
    </w:rPr>
  </w:style>
  <w:style w:type="paragraph" w:styleId="TOC2">
    <w:name w:val="toc 2"/>
    <w:basedOn w:val="TOC1"/>
    <w:uiPriority w:val="39"/>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rsid w:val="00C1350F"/>
    <w:pPr>
      <w:numPr>
        <w:numId w:val="1"/>
      </w:numPr>
      <w:tabs>
        <w:tab w:val="clear" w:pos="1778"/>
      </w:tabs>
      <w:ind w:left="425" w:hanging="425"/>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sz w:val="20"/>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B72DD3"/>
    <w:pPr>
      <w:spacing w:before="240" w:after="60"/>
    </w:pPr>
    <w:rPr>
      <w:rFonts w:ascii="Arial Narrow" w:hAnsi="Arial Narrow" w:cs="Arial"/>
      <w:b/>
      <w:bCs/>
      <w:kern w:val="28"/>
      <w:sz w:val="48"/>
      <w:szCs w:val="32"/>
    </w:rPr>
  </w:style>
  <w:style w:type="character" w:customStyle="1" w:styleId="TitleChar">
    <w:name w:val="Title Char"/>
    <w:basedOn w:val="DefaultParagraphFont"/>
    <w:link w:val="Title"/>
    <w:rsid w:val="00B72DD3"/>
    <w:rPr>
      <w:rFonts w:ascii="Arial Narrow" w:hAnsi="Arial Narrow" w:cs="Arial"/>
      <w:b/>
      <w:bCs/>
      <w:kern w:val="28"/>
      <w:sz w:val="48"/>
      <w:szCs w:val="32"/>
      <w:lang w:val="en-NZ" w:eastAsia="en-US" w:bidi="ar-SA"/>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rsid w:val="00C57E79"/>
    <w:pPr>
      <w:ind w:right="1395"/>
    </w:pPr>
    <w:rPr>
      <w:rFonts w:ascii="Arial Narrow" w:hAnsi="Arial Narrow"/>
      <w:b/>
      <w:sz w:val="36"/>
    </w:rPr>
  </w:style>
  <w:style w:type="paragraph" w:styleId="ListBullet2">
    <w:name w:val="List Bullet 2"/>
    <w:basedOn w:val="Normal"/>
    <w:rsid w:val="00C57E79"/>
    <w:pPr>
      <w:numPr>
        <w:numId w:val="3"/>
      </w:numPr>
    </w:pPr>
  </w:style>
  <w:style w:type="paragraph" w:styleId="ListNumber2">
    <w:name w:val="List Number 2"/>
    <w:basedOn w:val="Normal"/>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basedOn w:val="DefaultParagraphFont"/>
    <w:rsid w:val="00231D6D"/>
    <w:rPr>
      <w:b/>
    </w:rPr>
  </w:style>
  <w:style w:type="character" w:customStyle="1" w:styleId="Italic">
    <w:name w:val="Italic"/>
    <w:basedOn w:val="DefaultParagraphFont"/>
    <w:rsid w:val="00231D6D"/>
    <w:rPr>
      <w:i/>
    </w:rPr>
  </w:style>
  <w:style w:type="character" w:customStyle="1" w:styleId="BoldItalic">
    <w:name w:val="Bold Italic"/>
    <w:basedOn w:val="DefaultParagraphFont"/>
    <w:rsid w:val="00231D6D"/>
    <w:rPr>
      <w:b/>
      <w:i/>
    </w:rPr>
  </w:style>
  <w:style w:type="character" w:customStyle="1" w:styleId="superscript">
    <w:name w:val="superscript"/>
    <w:basedOn w:val="DefaultParagraphFont"/>
    <w:rsid w:val="004D1673"/>
    <w:rPr>
      <w:vertAlign w:val="superscript"/>
    </w:rPr>
  </w:style>
  <w:style w:type="character" w:customStyle="1" w:styleId="subscript">
    <w:name w:val="subscript"/>
    <w:basedOn w:val="superscript"/>
    <w:rsid w:val="004D1673"/>
    <w:rPr>
      <w:vertAlign w:val="subscript"/>
    </w:rPr>
  </w:style>
  <w:style w:type="character" w:styleId="FollowedHyperlink">
    <w:name w:val="FollowedHyperlink"/>
    <w:basedOn w:val="DefaultParagraphFont"/>
    <w:rsid w:val="007075EB"/>
    <w:rPr>
      <w:color w:val="800080"/>
      <w:u w:val="single"/>
    </w:rPr>
  </w:style>
  <w:style w:type="character" w:styleId="Hyperlink">
    <w:name w:val="Hyperlink"/>
    <w:basedOn w:val="DefaultParagraphFont"/>
    <w:rsid w:val="006C57DB"/>
    <w:rPr>
      <w:color w:val="0000FF"/>
      <w:u w:val="single"/>
    </w:rPr>
  </w:style>
  <w:style w:type="character" w:customStyle="1" w:styleId="Heading5Char">
    <w:name w:val="Heading 5 Char"/>
    <w:basedOn w:val="DefaultParagraphFont"/>
    <w:link w:val="Heading5"/>
    <w:semiHidden/>
    <w:rsid w:val="00D7586B"/>
    <w:rPr>
      <w:rFonts w:ascii="Calibri" w:hAnsi="Calibri"/>
      <w:b/>
      <w:bCs/>
      <w:i/>
      <w:iCs/>
      <w:sz w:val="26"/>
      <w:szCs w:val="26"/>
      <w:lang w:eastAsia="en-US"/>
    </w:rPr>
  </w:style>
  <w:style w:type="character" w:customStyle="1" w:styleId="Heading6Char">
    <w:name w:val="Heading 6 Char"/>
    <w:basedOn w:val="DefaultParagraphFont"/>
    <w:link w:val="Heading6"/>
    <w:semiHidden/>
    <w:rsid w:val="00D7586B"/>
    <w:rPr>
      <w:rFonts w:ascii="Calibri" w:hAnsi="Calibri"/>
      <w:b/>
      <w:bCs/>
      <w:sz w:val="22"/>
      <w:szCs w:val="22"/>
      <w:lang w:eastAsia="en-US"/>
    </w:rPr>
  </w:style>
  <w:style w:type="character" w:customStyle="1" w:styleId="Heading7Char">
    <w:name w:val="Heading 7 Char"/>
    <w:basedOn w:val="DefaultParagraphFont"/>
    <w:link w:val="Heading7"/>
    <w:semiHidden/>
    <w:rsid w:val="00D7586B"/>
    <w:rPr>
      <w:rFonts w:ascii="Calibri" w:hAnsi="Calibri"/>
      <w:sz w:val="24"/>
      <w:szCs w:val="24"/>
      <w:lang w:eastAsia="en-US"/>
    </w:rPr>
  </w:style>
  <w:style w:type="character" w:customStyle="1" w:styleId="Heading8Char">
    <w:name w:val="Heading 8 Char"/>
    <w:basedOn w:val="DefaultParagraphFont"/>
    <w:link w:val="Heading8"/>
    <w:semiHidden/>
    <w:rsid w:val="00D7586B"/>
    <w:rPr>
      <w:rFonts w:ascii="Calibri" w:hAnsi="Calibri"/>
      <w:i/>
      <w:iCs/>
      <w:sz w:val="24"/>
      <w:szCs w:val="24"/>
      <w:lang w:eastAsia="en-US"/>
    </w:rPr>
  </w:style>
  <w:style w:type="character" w:customStyle="1" w:styleId="Heading9Char">
    <w:name w:val="Heading 9 Char"/>
    <w:basedOn w:val="DefaultParagraphFont"/>
    <w:link w:val="Heading9"/>
    <w:semiHidden/>
    <w:rsid w:val="00D7586B"/>
    <w:rPr>
      <w:rFonts w:ascii="Cambria" w:hAnsi="Cambria"/>
      <w:sz w:val="22"/>
      <w:szCs w:val="22"/>
      <w:lang w:eastAsia="en-US"/>
    </w:rPr>
  </w:style>
  <w:style w:type="character" w:styleId="FootnoteReference">
    <w:name w:val="footnote reference"/>
    <w:uiPriority w:val="99"/>
    <w:unhideWhenUsed/>
    <w:rsid w:val="008703C7"/>
    <w:rPr>
      <w:vertAlign w:val="superscript"/>
    </w:rPr>
  </w:style>
  <w:style w:type="paragraph" w:styleId="ListParagraph">
    <w:name w:val="List Paragraph"/>
    <w:basedOn w:val="Normal"/>
    <w:uiPriority w:val="34"/>
    <w:qFormat/>
    <w:rsid w:val="008703C7"/>
    <w:pPr>
      <w:spacing w:after="160" w:line="259" w:lineRule="auto"/>
      <w:ind w:left="720"/>
      <w:contextualSpacing/>
    </w:pPr>
    <w:rPr>
      <w:rFonts w:ascii="Calibri" w:hAnsi="Calibri"/>
      <w:sz w:val="22"/>
      <w:szCs w:val="22"/>
    </w:rPr>
  </w:style>
  <w:style w:type="character" w:customStyle="1" w:styleId="FootnoteTextChar">
    <w:name w:val="Footnote Text Char"/>
    <w:link w:val="FootnoteText"/>
    <w:uiPriority w:val="99"/>
    <w:rsid w:val="008703C7"/>
    <w:rPr>
      <w:sz w:val="16"/>
      <w:lang w:eastAsia="en-US"/>
    </w:rPr>
  </w:style>
  <w:style w:type="table" w:customStyle="1" w:styleId="TableGrid2">
    <w:name w:val="Table Grid2"/>
    <w:basedOn w:val="TableNormal"/>
    <w:next w:val="TableGrid"/>
    <w:uiPriority w:val="39"/>
    <w:rsid w:val="001A679E"/>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634D2"/>
    <w:rPr>
      <w:sz w:val="16"/>
      <w:szCs w:val="16"/>
    </w:rPr>
  </w:style>
  <w:style w:type="paragraph" w:styleId="CommentText">
    <w:name w:val="annotation text"/>
    <w:basedOn w:val="Normal"/>
    <w:link w:val="CommentTextChar"/>
    <w:uiPriority w:val="99"/>
    <w:unhideWhenUsed/>
    <w:rsid w:val="00F634D2"/>
    <w:pPr>
      <w:spacing w:after="16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F634D2"/>
    <w:rPr>
      <w:rFonts w:asciiTheme="minorHAnsi" w:eastAsiaTheme="minorEastAsia" w:hAnsiTheme="minorHAnsi" w:cstheme="minorBidi"/>
      <w:lang w:eastAsia="en-US"/>
    </w:rPr>
  </w:style>
  <w:style w:type="paragraph" w:styleId="BalloonText">
    <w:name w:val="Balloon Text"/>
    <w:basedOn w:val="Normal"/>
    <w:link w:val="BalloonTextChar"/>
    <w:locked/>
    <w:rsid w:val="00F634D2"/>
    <w:rPr>
      <w:rFonts w:ascii="Segoe UI" w:hAnsi="Segoe UI" w:cs="Segoe UI"/>
      <w:sz w:val="18"/>
      <w:szCs w:val="18"/>
    </w:rPr>
  </w:style>
  <w:style w:type="character" w:customStyle="1" w:styleId="BalloonTextChar">
    <w:name w:val="Balloon Text Char"/>
    <w:basedOn w:val="DefaultParagraphFont"/>
    <w:link w:val="BalloonText"/>
    <w:rsid w:val="00F634D2"/>
    <w:rPr>
      <w:rFonts w:ascii="Segoe UI" w:hAnsi="Segoe UI" w:cs="Segoe UI"/>
      <w:sz w:val="18"/>
      <w:szCs w:val="18"/>
      <w:lang w:eastAsia="en-US"/>
    </w:rPr>
  </w:style>
  <w:style w:type="paragraph" w:styleId="CommentSubject">
    <w:name w:val="annotation subject"/>
    <w:basedOn w:val="CommentText"/>
    <w:next w:val="CommentText"/>
    <w:link w:val="CommentSubjectChar"/>
    <w:rsid w:val="00367A8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67A85"/>
    <w:rPr>
      <w:rFonts w:asciiTheme="minorHAnsi" w:eastAsiaTheme="minorEastAsia" w:hAnsiTheme="minorHAnsi" w:cstheme="minorBidi"/>
      <w:b/>
      <w:bCs/>
      <w:lang w:eastAsia="en-US"/>
    </w:rPr>
  </w:style>
  <w:style w:type="table" w:customStyle="1" w:styleId="TableGrid1">
    <w:name w:val="Table Grid1"/>
    <w:basedOn w:val="TableNormal"/>
    <w:next w:val="TableGrid"/>
    <w:uiPriority w:val="39"/>
    <w:rsid w:val="00960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58D"/>
    <w:rPr>
      <w:sz w:val="24"/>
      <w:lang w:eastAsia="en-US"/>
    </w:rPr>
  </w:style>
  <w:style w:type="paragraph" w:styleId="NormalWeb">
    <w:name w:val="Normal (Web)"/>
    <w:basedOn w:val="Normal"/>
    <w:uiPriority w:val="99"/>
    <w:semiHidden/>
    <w:unhideWhenUsed/>
    <w:locked/>
    <w:rsid w:val="0060302F"/>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8586">
      <w:bodyDiv w:val="1"/>
      <w:marLeft w:val="0"/>
      <w:marRight w:val="0"/>
      <w:marTop w:val="0"/>
      <w:marBottom w:val="0"/>
      <w:divBdr>
        <w:top w:val="none" w:sz="0" w:space="0" w:color="auto"/>
        <w:left w:val="none" w:sz="0" w:space="0" w:color="auto"/>
        <w:bottom w:val="none" w:sz="0" w:space="0" w:color="auto"/>
        <w:right w:val="none" w:sz="0" w:space="0" w:color="auto"/>
      </w:divBdr>
      <w:divsChild>
        <w:div w:id="1276014213">
          <w:marLeft w:val="0"/>
          <w:marRight w:val="0"/>
          <w:marTop w:val="0"/>
          <w:marBottom w:val="0"/>
          <w:divBdr>
            <w:top w:val="none" w:sz="0" w:space="0" w:color="auto"/>
            <w:left w:val="none" w:sz="0" w:space="0" w:color="auto"/>
            <w:bottom w:val="none" w:sz="0" w:space="0" w:color="auto"/>
            <w:right w:val="none" w:sz="0" w:space="0" w:color="auto"/>
          </w:divBdr>
          <w:divsChild>
            <w:div w:id="828057134">
              <w:marLeft w:val="0"/>
              <w:marRight w:val="0"/>
              <w:marTop w:val="0"/>
              <w:marBottom w:val="0"/>
              <w:divBdr>
                <w:top w:val="none" w:sz="0" w:space="0" w:color="auto"/>
                <w:left w:val="none" w:sz="0" w:space="0" w:color="auto"/>
                <w:bottom w:val="none" w:sz="0" w:space="0" w:color="auto"/>
                <w:right w:val="none" w:sz="0" w:space="0" w:color="auto"/>
              </w:divBdr>
              <w:divsChild>
                <w:div w:id="1283340643">
                  <w:marLeft w:val="0"/>
                  <w:marRight w:val="0"/>
                  <w:marTop w:val="0"/>
                  <w:marBottom w:val="0"/>
                  <w:divBdr>
                    <w:top w:val="none" w:sz="0" w:space="0" w:color="auto"/>
                    <w:left w:val="none" w:sz="0" w:space="0" w:color="auto"/>
                    <w:bottom w:val="none" w:sz="0" w:space="0" w:color="auto"/>
                    <w:right w:val="none" w:sz="0" w:space="0" w:color="auto"/>
                  </w:divBdr>
                  <w:divsChild>
                    <w:div w:id="1088845651">
                      <w:marLeft w:val="0"/>
                      <w:marRight w:val="0"/>
                      <w:marTop w:val="0"/>
                      <w:marBottom w:val="0"/>
                      <w:divBdr>
                        <w:top w:val="none" w:sz="0" w:space="0" w:color="auto"/>
                        <w:left w:val="none" w:sz="0" w:space="0" w:color="auto"/>
                        <w:bottom w:val="none" w:sz="0" w:space="0" w:color="auto"/>
                        <w:right w:val="none" w:sz="0" w:space="0" w:color="auto"/>
                      </w:divBdr>
                      <w:divsChild>
                        <w:div w:id="1856572902">
                          <w:marLeft w:val="0"/>
                          <w:marRight w:val="0"/>
                          <w:marTop w:val="0"/>
                          <w:marBottom w:val="0"/>
                          <w:divBdr>
                            <w:top w:val="none" w:sz="0" w:space="0" w:color="auto"/>
                            <w:left w:val="none" w:sz="0" w:space="0" w:color="auto"/>
                            <w:bottom w:val="none" w:sz="0" w:space="0" w:color="auto"/>
                            <w:right w:val="none" w:sz="0" w:space="0" w:color="auto"/>
                          </w:divBdr>
                          <w:divsChild>
                            <w:div w:id="2040738862">
                              <w:marLeft w:val="0"/>
                              <w:marRight w:val="0"/>
                              <w:marTop w:val="0"/>
                              <w:marBottom w:val="0"/>
                              <w:divBdr>
                                <w:top w:val="none" w:sz="0" w:space="0" w:color="auto"/>
                                <w:left w:val="none" w:sz="0" w:space="0" w:color="auto"/>
                                <w:bottom w:val="none" w:sz="0" w:space="0" w:color="auto"/>
                                <w:right w:val="none" w:sz="0" w:space="0" w:color="auto"/>
                              </w:divBdr>
                              <w:divsChild>
                                <w:div w:id="10860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dc.gov/hepatitis/pdfs/fiore_ha_transmitted_by_food.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28" Type="http://schemas.microsoft.com/office/2011/relationships/people" Target="people.xml"/><Relationship Id="rId15" Type="http://schemas.openxmlformats.org/officeDocument/2006/relationships/hyperlink" Target="http://www.mpi.govt.nz/news-and-resources/publications/" TargetMode="Externa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hyperlink" Target="http://www.who.int/csr/disease/hepatitis/HepatitisA_whocdscsredc2000_7.pdf?ua=1" TargetMode="External"/><Relationship Id="rId9" Type="http://schemas.microsoft.com/office/2007/relationships/stylesWithEffects" Target="stylesWithEffects.xml"/><Relationship Id="rId14" Type="http://schemas.openxmlformats.org/officeDocument/2006/relationships/hyperlink" Target="http://www.foodstandards.gov.au/public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publications/Pages/agentsoffoodborneill5155.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ja\Desktop\MPI%20Templates\MPI%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bd06d2da0152468b9236b575a71e0e7c>
    <_dlc_DocId xmlns="ff5de93e-c5e8-4efc-a1bd-21450292fcfe">X3VAMR3A5FUY-504-26979</_dlc_DocId>
    <_dlc_DocIdUrl xmlns="ff5de93e-c5e8-4efc-a1bd-21450292fcfe">
      <Url>http://teams/Sections/RAM/_layouts/15/DocIdRedir.aspx?ID=X3VAMR3A5FUY-504-26979</Url>
      <Description>X3VAMR3A5FUY-504-26979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4CE9C-8B38-40B2-A5D6-4549D1FFBB37}"/>
</file>

<file path=customXml/itemProps2.xml><?xml version="1.0" encoding="utf-8"?>
<ds:datastoreItem xmlns:ds="http://schemas.openxmlformats.org/officeDocument/2006/customXml" ds:itemID="{8C39136D-8191-428C-B436-92A894D2A538}"/>
</file>

<file path=customXml/itemProps3.xml><?xml version="1.0" encoding="utf-8"?>
<ds:datastoreItem xmlns:ds="http://schemas.openxmlformats.org/officeDocument/2006/customXml" ds:itemID="{660EE2FF-6CB8-4F3F-A1C9-083E9B695077}"/>
</file>

<file path=customXml/itemProps4.xml><?xml version="1.0" encoding="utf-8"?>
<ds:datastoreItem xmlns:ds="http://schemas.openxmlformats.org/officeDocument/2006/customXml" ds:itemID="{FF84CE9C-8B38-40B2-A5D6-4549D1FFBB37}">
  <ds:schemaRefs>
    <ds:schemaRef ds:uri="http://schemas.microsoft.com/sharepoint/v3/contenttype/forms"/>
  </ds:schemaRefs>
</ds:datastoreItem>
</file>

<file path=customXml/itemProps5.xml><?xml version="1.0" encoding="utf-8"?>
<ds:datastoreItem xmlns:ds="http://schemas.openxmlformats.org/officeDocument/2006/customXml" ds:itemID="{8C39136D-8191-428C-B436-92A894D2A538}">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6.xml><?xml version="1.0" encoding="utf-8"?>
<ds:datastoreItem xmlns:ds="http://schemas.openxmlformats.org/officeDocument/2006/customXml" ds:itemID="{7B3BF1D3-7A0C-4710-B770-6589A914DD70}"/>
</file>

<file path=docProps/app.xml><?xml version="1.0" encoding="utf-8"?>
<Properties xmlns="http://schemas.openxmlformats.org/officeDocument/2006/extended-properties" xmlns:vt="http://schemas.openxmlformats.org/officeDocument/2006/docPropsVTypes">
  <Template>MPI Report Template</Template>
  <TotalTime>9</TotalTime>
  <Pages>9</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MAF Technical Paper Template</vt:lpstr>
    </vt:vector>
  </TitlesOfParts>
  <Company>Ministry of Agriculture and Forestry</Company>
  <LinksUpToDate>false</LinksUpToDate>
  <CharactersWithSpaces>12622</CharactersWithSpaces>
  <SharedDoc>false</SharedDoc>
  <HLinks>
    <vt:vector size="12" baseType="variant">
      <vt:variant>
        <vt:i4>3997758</vt:i4>
      </vt:variant>
      <vt:variant>
        <vt:i4>3</vt:i4>
      </vt:variant>
      <vt:variant>
        <vt:i4>0</vt:i4>
      </vt:variant>
      <vt:variant>
        <vt:i4>5</vt:i4>
      </vt:variant>
      <vt:variant>
        <vt:lpwstr>http://www.mpi.govt.nz/news-and-resources/publications/</vt:lpwstr>
      </vt:variant>
      <vt:variant>
        <vt:lpwstr/>
      </vt:variant>
      <vt:variant>
        <vt:i4>4456509</vt:i4>
      </vt:variant>
      <vt:variant>
        <vt:i4>0</vt:i4>
      </vt:variant>
      <vt:variant>
        <vt:i4>0</vt:i4>
      </vt:variant>
      <vt:variant>
        <vt:i4>5</vt:i4>
      </vt:variant>
      <vt:variant>
        <vt:lpwstr>mailto:brand@mpi.govt.nz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heat inactivation of HAV in berries</dc:title>
  <dc:creator>Authorised User</dc:creator>
  <dc:description>2002</dc:description>
  <cp:lastModifiedBy>urbans</cp:lastModifiedBy>
  <cp:revision>5</cp:revision>
  <cp:lastPrinted>2015-12-17T19:42:00Z</cp:lastPrinted>
  <dcterms:created xsi:type="dcterms:W3CDTF">2015-12-22T02:07:00Z</dcterms:created>
  <dcterms:modified xsi:type="dcterms:W3CDTF">2015-12-22T02:12:00Z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DisposalClass">
    <vt:lpwstr/>
  </property>
  <property fmtid="{D5CDD505-2E9C-101B-9397-08002B2CF9AE}" pid="4" name="BCS_">
    <vt:lpwstr/>
  </property>
  <property fmtid="{D5CDD505-2E9C-101B-9397-08002B2CF9AE}" pid="5" name="_dlc_DocIdItemGuid">
    <vt:lpwstr>862b035c-2dc1-4132-af63-f21d99e70bca</vt:lpwstr>
  </property>
</Properties>
</file>